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4C" w:rsidRPr="000160C5" w:rsidRDefault="00C9664C" w:rsidP="00C9664C">
      <w:pPr>
        <w:pStyle w:val="FR1"/>
        <w:tabs>
          <w:tab w:val="left" w:pos="5420"/>
        </w:tabs>
        <w:spacing w:before="0"/>
        <w:ind w:left="0" w:right="0"/>
        <w:rPr>
          <w:sz w:val="28"/>
          <w:szCs w:val="28"/>
        </w:rPr>
      </w:pPr>
      <w:r w:rsidRPr="000160C5">
        <w:rPr>
          <w:sz w:val="28"/>
          <w:szCs w:val="28"/>
        </w:rPr>
        <w:t>Правительство Российской Федерации</w:t>
      </w:r>
    </w:p>
    <w:p w:rsidR="00C9664C" w:rsidRPr="000160C5" w:rsidRDefault="00C9664C" w:rsidP="00C9664C">
      <w:pPr>
        <w:pStyle w:val="FR1"/>
        <w:tabs>
          <w:tab w:val="left" w:pos="5420"/>
        </w:tabs>
        <w:spacing w:before="0"/>
        <w:ind w:left="0" w:right="0"/>
        <w:rPr>
          <w:sz w:val="28"/>
          <w:szCs w:val="28"/>
        </w:rPr>
      </w:pPr>
    </w:p>
    <w:p w:rsidR="00C9664C" w:rsidRPr="000160C5" w:rsidRDefault="00C9664C" w:rsidP="00C9664C">
      <w:pPr>
        <w:pStyle w:val="FR1"/>
        <w:tabs>
          <w:tab w:val="left" w:pos="5420"/>
        </w:tabs>
        <w:spacing w:before="0"/>
        <w:ind w:left="0" w:right="0"/>
        <w:rPr>
          <w:sz w:val="28"/>
          <w:szCs w:val="28"/>
        </w:rPr>
      </w:pPr>
      <w:r w:rsidRPr="000160C5">
        <w:rPr>
          <w:sz w:val="28"/>
          <w:szCs w:val="28"/>
        </w:rPr>
        <w:t xml:space="preserve">Федеральное государственное автономное образовательное учреждение высшего профессионального образования </w:t>
      </w:r>
    </w:p>
    <w:p w:rsidR="00C9664C" w:rsidRPr="000160C5" w:rsidRDefault="00C9664C" w:rsidP="00C9664C">
      <w:pPr>
        <w:pStyle w:val="FR1"/>
        <w:tabs>
          <w:tab w:val="left" w:pos="5420"/>
        </w:tabs>
        <w:spacing w:before="0"/>
        <w:ind w:left="0" w:right="0"/>
        <w:rPr>
          <w:sz w:val="28"/>
          <w:szCs w:val="28"/>
        </w:rPr>
      </w:pPr>
    </w:p>
    <w:p w:rsidR="00C9664C" w:rsidRPr="000160C5" w:rsidRDefault="00C9664C" w:rsidP="00C9664C">
      <w:pPr>
        <w:pStyle w:val="FR1"/>
        <w:tabs>
          <w:tab w:val="left" w:pos="5420"/>
        </w:tabs>
        <w:spacing w:before="0"/>
        <w:ind w:left="0" w:right="0"/>
        <w:rPr>
          <w:sz w:val="28"/>
          <w:szCs w:val="28"/>
        </w:rPr>
      </w:pPr>
      <w:r w:rsidRPr="000160C5">
        <w:rPr>
          <w:sz w:val="28"/>
          <w:szCs w:val="28"/>
        </w:rPr>
        <w:t xml:space="preserve">"Национальный исследовательский университет </w:t>
      </w:r>
      <w:r w:rsidRPr="000160C5">
        <w:rPr>
          <w:sz w:val="28"/>
          <w:szCs w:val="28"/>
        </w:rPr>
        <w:br/>
        <w:t>"Высшая школа экономики"</w:t>
      </w:r>
    </w:p>
    <w:p w:rsidR="00C9664C" w:rsidRPr="000160C5" w:rsidRDefault="00C9664C" w:rsidP="00C9664C">
      <w:pPr>
        <w:rPr>
          <w:rFonts w:ascii="Times New Roman" w:hAnsi="Times New Roman" w:cs="Times New Roman"/>
          <w:sz w:val="28"/>
          <w:szCs w:val="28"/>
        </w:rPr>
      </w:pPr>
    </w:p>
    <w:p w:rsidR="00C9664C" w:rsidRPr="000160C5" w:rsidRDefault="00C9664C" w:rsidP="00C9664C">
      <w:pPr>
        <w:pStyle w:val="6"/>
        <w:rPr>
          <w:sz w:val="28"/>
          <w:szCs w:val="28"/>
        </w:rPr>
      </w:pPr>
      <w:r w:rsidRPr="000160C5">
        <w:rPr>
          <w:sz w:val="28"/>
          <w:szCs w:val="28"/>
        </w:rPr>
        <w:t>Факультет права</w:t>
      </w:r>
    </w:p>
    <w:p w:rsidR="00C9664C" w:rsidRPr="000160C5" w:rsidRDefault="00C9664C" w:rsidP="00C9664C">
      <w:pPr>
        <w:pStyle w:val="6"/>
        <w:rPr>
          <w:sz w:val="28"/>
          <w:szCs w:val="28"/>
        </w:rPr>
      </w:pPr>
      <w:r w:rsidRPr="000160C5">
        <w:rPr>
          <w:sz w:val="28"/>
          <w:szCs w:val="28"/>
        </w:rPr>
        <w:t>Кафедра предпринимательского права</w:t>
      </w:r>
    </w:p>
    <w:p w:rsidR="00C9664C" w:rsidRPr="000160C5" w:rsidRDefault="00C9664C" w:rsidP="00C9664C">
      <w:pPr>
        <w:autoSpaceDE w:val="0"/>
        <w:autoSpaceDN w:val="0"/>
        <w:adjustRightInd w:val="0"/>
        <w:jc w:val="center"/>
        <w:rPr>
          <w:rFonts w:ascii="Times New Roman" w:hAnsi="Times New Roman" w:cs="Times New Roman"/>
          <w:sz w:val="28"/>
          <w:szCs w:val="28"/>
        </w:rPr>
      </w:pPr>
    </w:p>
    <w:p w:rsidR="00C9664C" w:rsidRPr="000160C5" w:rsidRDefault="00C9664C" w:rsidP="00C9664C">
      <w:pPr>
        <w:pStyle w:val="6"/>
        <w:jc w:val="center"/>
        <w:rPr>
          <w:b w:val="0"/>
          <w:bCs w:val="0"/>
          <w:sz w:val="28"/>
          <w:szCs w:val="28"/>
        </w:rPr>
      </w:pPr>
      <w:r w:rsidRPr="000160C5">
        <w:rPr>
          <w:sz w:val="28"/>
          <w:szCs w:val="28"/>
        </w:rPr>
        <w:t>ВЫПУСКНАЯ</w:t>
      </w:r>
      <w:r w:rsidR="00536321">
        <w:rPr>
          <w:sz w:val="28"/>
          <w:szCs w:val="28"/>
        </w:rPr>
        <w:t xml:space="preserve"> </w:t>
      </w:r>
      <w:r w:rsidRPr="000160C5">
        <w:rPr>
          <w:bCs w:val="0"/>
          <w:sz w:val="28"/>
          <w:szCs w:val="28"/>
        </w:rPr>
        <w:t>КВАЛИФИКАЦИОННАЯ</w:t>
      </w:r>
      <w:r w:rsidR="00536321">
        <w:rPr>
          <w:bCs w:val="0"/>
          <w:sz w:val="28"/>
          <w:szCs w:val="28"/>
        </w:rPr>
        <w:t xml:space="preserve"> </w:t>
      </w:r>
      <w:bookmarkStart w:id="0" w:name="_GoBack"/>
      <w:bookmarkEnd w:id="0"/>
      <w:r w:rsidRPr="000160C5">
        <w:rPr>
          <w:bCs w:val="0"/>
          <w:sz w:val="28"/>
          <w:szCs w:val="28"/>
        </w:rPr>
        <w:t>РАБОТА</w:t>
      </w:r>
    </w:p>
    <w:p w:rsidR="00C9664C" w:rsidRPr="000160C5" w:rsidRDefault="00C9664C" w:rsidP="00C9664C">
      <w:pPr>
        <w:autoSpaceDE w:val="0"/>
        <w:autoSpaceDN w:val="0"/>
        <w:adjustRightInd w:val="0"/>
        <w:jc w:val="center"/>
        <w:rPr>
          <w:rFonts w:ascii="Times New Roman" w:hAnsi="Times New Roman" w:cs="Times New Roman"/>
          <w:b/>
          <w:bCs/>
          <w:sz w:val="28"/>
          <w:szCs w:val="28"/>
        </w:rPr>
      </w:pPr>
    </w:p>
    <w:p w:rsidR="00C9664C" w:rsidRPr="000160C5" w:rsidRDefault="00C9664C" w:rsidP="00C9664C">
      <w:pPr>
        <w:pStyle w:val="24"/>
        <w:jc w:val="both"/>
        <w:rPr>
          <w:sz w:val="28"/>
          <w:szCs w:val="28"/>
        </w:rPr>
      </w:pPr>
      <w:r w:rsidRPr="000160C5">
        <w:rPr>
          <w:sz w:val="28"/>
          <w:szCs w:val="28"/>
        </w:rPr>
        <w:t>На тему «Ответственность эмитентов за нарушение требований по раскрытию информации на  рынке ценных бумаг</w:t>
      </w:r>
      <w:r w:rsidR="00E73E92">
        <w:rPr>
          <w:sz w:val="28"/>
          <w:szCs w:val="28"/>
        </w:rPr>
        <w:t>: Россия и США</w:t>
      </w:r>
      <w:r w:rsidRPr="000160C5">
        <w:rPr>
          <w:sz w:val="28"/>
          <w:szCs w:val="28"/>
        </w:rPr>
        <w:t>»</w:t>
      </w:r>
    </w:p>
    <w:p w:rsidR="00C9664C" w:rsidRPr="000160C5" w:rsidRDefault="00C9664C" w:rsidP="00C9664C">
      <w:pPr>
        <w:autoSpaceDE w:val="0"/>
        <w:autoSpaceDN w:val="0"/>
        <w:adjustRightInd w:val="0"/>
        <w:spacing w:before="35"/>
        <w:jc w:val="both"/>
        <w:rPr>
          <w:rFonts w:ascii="Times New Roman" w:hAnsi="Times New Roman" w:cs="Times New Roman"/>
          <w:sz w:val="28"/>
          <w:szCs w:val="28"/>
        </w:rPr>
      </w:pPr>
    </w:p>
    <w:p w:rsidR="00C9664C" w:rsidRPr="000160C5" w:rsidRDefault="00C9664C" w:rsidP="00C9664C">
      <w:pPr>
        <w:autoSpaceDE w:val="0"/>
        <w:autoSpaceDN w:val="0"/>
        <w:adjustRightInd w:val="0"/>
        <w:spacing w:before="35"/>
        <w:ind w:left="6300"/>
        <w:jc w:val="both"/>
        <w:rPr>
          <w:rFonts w:ascii="Times New Roman" w:hAnsi="Times New Roman" w:cs="Times New Roman"/>
          <w:sz w:val="28"/>
          <w:szCs w:val="28"/>
        </w:rPr>
      </w:pPr>
    </w:p>
    <w:p w:rsidR="00C9664C" w:rsidRPr="000160C5" w:rsidRDefault="00C9664C" w:rsidP="00C9664C">
      <w:pPr>
        <w:tabs>
          <w:tab w:val="left" w:pos="8820"/>
        </w:tabs>
        <w:ind w:left="4956" w:right="818"/>
        <w:rPr>
          <w:rFonts w:ascii="Times New Roman" w:hAnsi="Times New Roman" w:cs="Times New Roman"/>
          <w:sz w:val="28"/>
          <w:szCs w:val="28"/>
        </w:rPr>
      </w:pPr>
      <w:r w:rsidRPr="000160C5">
        <w:rPr>
          <w:rFonts w:ascii="Times New Roman" w:hAnsi="Times New Roman" w:cs="Times New Roman"/>
          <w:sz w:val="28"/>
          <w:szCs w:val="28"/>
        </w:rPr>
        <w:t>Студент группы № 5ПР</w:t>
      </w:r>
    </w:p>
    <w:p w:rsidR="00C9664C" w:rsidRPr="000160C5" w:rsidRDefault="00C9664C" w:rsidP="00C9664C">
      <w:pPr>
        <w:tabs>
          <w:tab w:val="left" w:pos="8820"/>
        </w:tabs>
        <w:ind w:left="4956" w:right="818"/>
        <w:rPr>
          <w:rFonts w:ascii="Times New Roman" w:hAnsi="Times New Roman" w:cs="Times New Roman"/>
          <w:sz w:val="28"/>
          <w:szCs w:val="28"/>
        </w:rPr>
      </w:pPr>
      <w:r w:rsidRPr="000160C5">
        <w:rPr>
          <w:rFonts w:ascii="Times New Roman" w:hAnsi="Times New Roman" w:cs="Times New Roman"/>
          <w:sz w:val="28"/>
          <w:szCs w:val="28"/>
        </w:rPr>
        <w:t>Хамиянова-Мокеева А.А.</w:t>
      </w:r>
    </w:p>
    <w:p w:rsidR="00C9664C" w:rsidRPr="000160C5" w:rsidRDefault="00C9664C" w:rsidP="00C9664C">
      <w:pPr>
        <w:tabs>
          <w:tab w:val="left" w:pos="8820"/>
        </w:tabs>
        <w:ind w:left="4956" w:right="818"/>
        <w:rPr>
          <w:rFonts w:ascii="Times New Roman" w:hAnsi="Times New Roman" w:cs="Times New Roman"/>
          <w:sz w:val="28"/>
          <w:szCs w:val="28"/>
        </w:rPr>
      </w:pPr>
      <w:r w:rsidRPr="000160C5">
        <w:rPr>
          <w:rFonts w:ascii="Times New Roman" w:hAnsi="Times New Roman" w:cs="Times New Roman"/>
          <w:sz w:val="28"/>
          <w:szCs w:val="28"/>
        </w:rPr>
        <w:t xml:space="preserve">                       (Ф.И.О.)</w:t>
      </w:r>
    </w:p>
    <w:p w:rsidR="00C9664C" w:rsidRPr="000160C5" w:rsidRDefault="00C9664C" w:rsidP="00C9664C">
      <w:pPr>
        <w:tabs>
          <w:tab w:val="left" w:pos="8820"/>
        </w:tabs>
        <w:ind w:left="4956" w:right="818"/>
        <w:rPr>
          <w:rFonts w:ascii="Times New Roman" w:hAnsi="Times New Roman" w:cs="Times New Roman"/>
          <w:sz w:val="28"/>
          <w:szCs w:val="28"/>
        </w:rPr>
      </w:pPr>
    </w:p>
    <w:p w:rsidR="00C9664C" w:rsidRPr="000160C5" w:rsidRDefault="00C9664C" w:rsidP="00C9664C">
      <w:pPr>
        <w:tabs>
          <w:tab w:val="left" w:pos="8820"/>
        </w:tabs>
        <w:ind w:left="4956" w:right="818"/>
        <w:rPr>
          <w:rFonts w:ascii="Times New Roman" w:hAnsi="Times New Roman" w:cs="Times New Roman"/>
          <w:sz w:val="28"/>
          <w:szCs w:val="28"/>
        </w:rPr>
      </w:pPr>
      <w:r w:rsidRPr="000160C5">
        <w:rPr>
          <w:rFonts w:ascii="Times New Roman" w:hAnsi="Times New Roman" w:cs="Times New Roman"/>
          <w:sz w:val="28"/>
          <w:szCs w:val="28"/>
        </w:rPr>
        <w:t>Научный руководитель</w:t>
      </w:r>
    </w:p>
    <w:p w:rsidR="00C9664C" w:rsidRPr="000160C5" w:rsidRDefault="00C9664C" w:rsidP="00C9664C">
      <w:pPr>
        <w:tabs>
          <w:tab w:val="left" w:pos="8820"/>
        </w:tabs>
        <w:ind w:left="4956" w:right="818"/>
        <w:rPr>
          <w:rFonts w:ascii="Times New Roman" w:hAnsi="Times New Roman" w:cs="Times New Roman"/>
          <w:sz w:val="28"/>
          <w:szCs w:val="28"/>
        </w:rPr>
      </w:pPr>
      <w:r w:rsidRPr="000160C5">
        <w:rPr>
          <w:rFonts w:ascii="Times New Roman" w:hAnsi="Times New Roman" w:cs="Times New Roman"/>
          <w:sz w:val="28"/>
          <w:szCs w:val="28"/>
        </w:rPr>
        <w:t>Селивановский А.С.</w:t>
      </w:r>
    </w:p>
    <w:p w:rsidR="00C9664C" w:rsidRPr="000160C5" w:rsidRDefault="00C9664C" w:rsidP="00C9664C">
      <w:pPr>
        <w:ind w:left="4956"/>
        <w:rPr>
          <w:rFonts w:ascii="Times New Roman" w:hAnsi="Times New Roman" w:cs="Times New Roman"/>
          <w:sz w:val="20"/>
          <w:szCs w:val="20"/>
        </w:rPr>
      </w:pPr>
      <w:r w:rsidRPr="000160C5">
        <w:rPr>
          <w:rFonts w:ascii="Times New Roman" w:hAnsi="Times New Roman" w:cs="Times New Roman"/>
          <w:sz w:val="28"/>
          <w:szCs w:val="28"/>
        </w:rPr>
        <w:t xml:space="preserve">    </w:t>
      </w:r>
      <w:r w:rsidRPr="000160C5">
        <w:rPr>
          <w:rFonts w:ascii="Times New Roman" w:hAnsi="Times New Roman" w:cs="Times New Roman"/>
          <w:sz w:val="20"/>
          <w:szCs w:val="20"/>
        </w:rPr>
        <w:t xml:space="preserve">доцент, </w:t>
      </w:r>
      <w:proofErr w:type="spellStart"/>
      <w:r w:rsidRPr="000160C5">
        <w:rPr>
          <w:rFonts w:ascii="Times New Roman" w:hAnsi="Times New Roman" w:cs="Times New Roman"/>
          <w:sz w:val="20"/>
          <w:szCs w:val="20"/>
        </w:rPr>
        <w:t>к.ю.н</w:t>
      </w:r>
      <w:proofErr w:type="spellEnd"/>
      <w:r w:rsidRPr="000160C5">
        <w:rPr>
          <w:rFonts w:ascii="Times New Roman" w:hAnsi="Times New Roman" w:cs="Times New Roman"/>
          <w:sz w:val="20"/>
          <w:szCs w:val="20"/>
        </w:rPr>
        <w:t xml:space="preserve">.  </w:t>
      </w:r>
    </w:p>
    <w:p w:rsidR="00C9664C" w:rsidRPr="000160C5" w:rsidRDefault="00C9664C" w:rsidP="00C9664C">
      <w:pPr>
        <w:tabs>
          <w:tab w:val="left" w:pos="8820"/>
        </w:tabs>
        <w:ind w:left="4956" w:right="818"/>
        <w:rPr>
          <w:rFonts w:ascii="Times New Roman" w:hAnsi="Times New Roman" w:cs="Times New Roman"/>
          <w:sz w:val="28"/>
          <w:szCs w:val="28"/>
        </w:rPr>
      </w:pPr>
    </w:p>
    <w:p w:rsidR="00C9664C" w:rsidRPr="000160C5" w:rsidRDefault="00C9664C" w:rsidP="00C9664C">
      <w:pPr>
        <w:tabs>
          <w:tab w:val="left" w:pos="8820"/>
        </w:tabs>
        <w:ind w:left="4956" w:right="818"/>
        <w:rPr>
          <w:rFonts w:ascii="Times New Roman" w:hAnsi="Times New Roman" w:cs="Times New Roman"/>
          <w:sz w:val="28"/>
          <w:szCs w:val="28"/>
        </w:rPr>
      </w:pPr>
      <w:r w:rsidRPr="000160C5">
        <w:rPr>
          <w:rFonts w:ascii="Times New Roman" w:hAnsi="Times New Roman" w:cs="Times New Roman"/>
          <w:sz w:val="28"/>
          <w:szCs w:val="28"/>
        </w:rPr>
        <w:t>Рецензент</w:t>
      </w:r>
    </w:p>
    <w:p w:rsidR="00C9664C" w:rsidRPr="000160C5" w:rsidRDefault="00C9664C" w:rsidP="00C9664C">
      <w:pPr>
        <w:tabs>
          <w:tab w:val="left" w:pos="8820"/>
        </w:tabs>
        <w:ind w:left="4956" w:right="818"/>
        <w:rPr>
          <w:rFonts w:ascii="Times New Roman" w:hAnsi="Times New Roman" w:cs="Times New Roman"/>
          <w:sz w:val="28"/>
          <w:szCs w:val="28"/>
        </w:rPr>
      </w:pPr>
      <w:proofErr w:type="spellStart"/>
      <w:r w:rsidRPr="000160C5">
        <w:rPr>
          <w:rFonts w:ascii="Times New Roman" w:hAnsi="Times New Roman" w:cs="Times New Roman"/>
          <w:sz w:val="28"/>
          <w:szCs w:val="28"/>
        </w:rPr>
        <w:t>Осакве</w:t>
      </w:r>
      <w:proofErr w:type="spellEnd"/>
      <w:r w:rsidRPr="000160C5">
        <w:rPr>
          <w:rFonts w:ascii="Times New Roman" w:hAnsi="Times New Roman" w:cs="Times New Roman"/>
          <w:sz w:val="28"/>
          <w:szCs w:val="28"/>
        </w:rPr>
        <w:t xml:space="preserve"> Кристофер</w:t>
      </w:r>
    </w:p>
    <w:p w:rsidR="00C9664C" w:rsidRPr="000160C5" w:rsidRDefault="00C9664C" w:rsidP="00C9664C">
      <w:pPr>
        <w:ind w:left="4956"/>
        <w:rPr>
          <w:rFonts w:ascii="Times New Roman" w:hAnsi="Times New Roman" w:cs="Times New Roman"/>
          <w:sz w:val="20"/>
          <w:szCs w:val="20"/>
        </w:rPr>
      </w:pPr>
      <w:r w:rsidRPr="000160C5">
        <w:rPr>
          <w:rFonts w:ascii="Times New Roman" w:hAnsi="Times New Roman" w:cs="Times New Roman"/>
          <w:sz w:val="28"/>
          <w:szCs w:val="28"/>
        </w:rPr>
        <w:t xml:space="preserve">    </w:t>
      </w:r>
      <w:r w:rsidRPr="000160C5">
        <w:rPr>
          <w:rFonts w:ascii="Times New Roman" w:hAnsi="Times New Roman" w:cs="Times New Roman"/>
          <w:sz w:val="20"/>
          <w:szCs w:val="20"/>
        </w:rPr>
        <w:t xml:space="preserve">профессор, </w:t>
      </w:r>
      <w:proofErr w:type="spellStart"/>
      <w:r w:rsidRPr="000160C5">
        <w:rPr>
          <w:rFonts w:ascii="Times New Roman" w:hAnsi="Times New Roman" w:cs="Times New Roman"/>
          <w:sz w:val="20"/>
          <w:szCs w:val="20"/>
        </w:rPr>
        <w:t>к.ю.н</w:t>
      </w:r>
      <w:proofErr w:type="spellEnd"/>
      <w:r w:rsidRPr="000160C5">
        <w:rPr>
          <w:rFonts w:ascii="Times New Roman" w:hAnsi="Times New Roman" w:cs="Times New Roman"/>
          <w:sz w:val="20"/>
          <w:szCs w:val="20"/>
        </w:rPr>
        <w:t xml:space="preserve">. </w:t>
      </w:r>
    </w:p>
    <w:p w:rsidR="00C9664C" w:rsidRPr="000160C5" w:rsidRDefault="00C9664C" w:rsidP="00C9664C">
      <w:pPr>
        <w:jc w:val="both"/>
        <w:rPr>
          <w:rFonts w:ascii="Times New Roman" w:hAnsi="Times New Roman" w:cs="Times New Roman"/>
          <w:sz w:val="28"/>
          <w:szCs w:val="28"/>
        </w:rPr>
      </w:pPr>
    </w:p>
    <w:p w:rsidR="008218F5" w:rsidRPr="000160C5" w:rsidRDefault="00C9664C" w:rsidP="008C1262">
      <w:pPr>
        <w:autoSpaceDE w:val="0"/>
        <w:autoSpaceDN w:val="0"/>
        <w:adjustRightInd w:val="0"/>
        <w:jc w:val="center"/>
        <w:rPr>
          <w:rFonts w:ascii="Times New Roman" w:eastAsiaTheme="majorEastAsia" w:hAnsi="Times New Roman" w:cs="Times New Roman"/>
          <w:color w:val="365F91" w:themeColor="accent1" w:themeShade="BF"/>
          <w:sz w:val="28"/>
          <w:szCs w:val="28"/>
        </w:rPr>
      </w:pPr>
      <w:r w:rsidRPr="000160C5">
        <w:rPr>
          <w:rFonts w:ascii="Times New Roman" w:hAnsi="Times New Roman" w:cs="Times New Roman"/>
          <w:sz w:val="28"/>
          <w:szCs w:val="28"/>
        </w:rPr>
        <w:t>Москва, 2013 г.</w:t>
      </w:r>
      <w:r w:rsidR="008218F5" w:rsidRPr="000160C5">
        <w:rPr>
          <w:rFonts w:ascii="Times New Roman" w:hAnsi="Times New Roman" w:cs="Times New Roman"/>
          <w:sz w:val="28"/>
          <w:szCs w:val="28"/>
        </w:rPr>
        <w:br w:type="page"/>
      </w:r>
    </w:p>
    <w:sdt>
      <w:sdtPr>
        <w:rPr>
          <w:rFonts w:asciiTheme="minorHAnsi" w:eastAsiaTheme="minorHAnsi" w:hAnsiTheme="minorHAnsi" w:cs="Times New Roman"/>
          <w:b w:val="0"/>
          <w:bCs w:val="0"/>
          <w:caps w:val="0"/>
          <w:sz w:val="22"/>
          <w:szCs w:val="22"/>
          <w:lang w:eastAsia="en-US"/>
        </w:rPr>
        <w:id w:val="-581287494"/>
        <w:docPartObj>
          <w:docPartGallery w:val="Table of Contents"/>
          <w:docPartUnique/>
        </w:docPartObj>
      </w:sdtPr>
      <w:sdtContent>
        <w:p w:rsidR="008C1262" w:rsidRPr="000160C5" w:rsidRDefault="008C1262">
          <w:pPr>
            <w:pStyle w:val="af2"/>
            <w:rPr>
              <w:rFonts w:cs="Times New Roman"/>
            </w:rPr>
          </w:pPr>
          <w:r w:rsidRPr="000160C5">
            <w:rPr>
              <w:rFonts w:cs="Times New Roman"/>
            </w:rPr>
            <w:t>Оглавление</w:t>
          </w:r>
        </w:p>
        <w:p w:rsidR="00D82823" w:rsidRDefault="001B3246">
          <w:pPr>
            <w:pStyle w:val="11"/>
            <w:tabs>
              <w:tab w:val="right" w:leader="dot" w:pos="9344"/>
            </w:tabs>
            <w:rPr>
              <w:rFonts w:eastAsiaTheme="minorEastAsia"/>
              <w:noProof/>
              <w:lang w:eastAsia="ru-RU"/>
            </w:rPr>
          </w:pPr>
          <w:r w:rsidRPr="001B3246">
            <w:rPr>
              <w:rFonts w:ascii="Times New Roman" w:hAnsi="Times New Roman" w:cs="Times New Roman"/>
            </w:rPr>
            <w:fldChar w:fldCharType="begin"/>
          </w:r>
          <w:r w:rsidR="008C1262" w:rsidRPr="000160C5">
            <w:rPr>
              <w:rFonts w:ascii="Times New Roman" w:hAnsi="Times New Roman" w:cs="Times New Roman"/>
            </w:rPr>
            <w:instrText xml:space="preserve"> TOC \o "1-3" \h \z \u </w:instrText>
          </w:r>
          <w:r w:rsidRPr="001B3246">
            <w:rPr>
              <w:rFonts w:ascii="Times New Roman" w:hAnsi="Times New Roman" w:cs="Times New Roman"/>
            </w:rPr>
            <w:fldChar w:fldCharType="separate"/>
          </w:r>
          <w:hyperlink w:anchor="_Toc356162041" w:history="1">
            <w:r w:rsidR="00D82823" w:rsidRPr="00BB1D11">
              <w:rPr>
                <w:rStyle w:val="aa"/>
                <w:rFonts w:cs="Times New Roman"/>
                <w:noProof/>
              </w:rPr>
              <w:t>Введение</w:t>
            </w:r>
            <w:r w:rsidR="00D82823">
              <w:rPr>
                <w:noProof/>
                <w:webHidden/>
              </w:rPr>
              <w:tab/>
            </w:r>
            <w:r>
              <w:rPr>
                <w:noProof/>
                <w:webHidden/>
              </w:rPr>
              <w:fldChar w:fldCharType="begin"/>
            </w:r>
            <w:r w:rsidR="00D82823">
              <w:rPr>
                <w:noProof/>
                <w:webHidden/>
              </w:rPr>
              <w:instrText xml:space="preserve"> PAGEREF _Toc356162041 \h </w:instrText>
            </w:r>
            <w:r>
              <w:rPr>
                <w:noProof/>
                <w:webHidden/>
              </w:rPr>
            </w:r>
            <w:r>
              <w:rPr>
                <w:noProof/>
                <w:webHidden/>
              </w:rPr>
              <w:fldChar w:fldCharType="separate"/>
            </w:r>
            <w:r w:rsidR="00E73E92">
              <w:rPr>
                <w:noProof/>
                <w:webHidden/>
              </w:rPr>
              <w:t>4</w:t>
            </w:r>
            <w:r>
              <w:rPr>
                <w:noProof/>
                <w:webHidden/>
              </w:rPr>
              <w:fldChar w:fldCharType="end"/>
            </w:r>
          </w:hyperlink>
        </w:p>
        <w:p w:rsidR="00D82823" w:rsidRDefault="001B3246">
          <w:pPr>
            <w:pStyle w:val="11"/>
            <w:tabs>
              <w:tab w:val="right" w:leader="dot" w:pos="9344"/>
            </w:tabs>
            <w:rPr>
              <w:rFonts w:eastAsiaTheme="minorEastAsia"/>
              <w:noProof/>
              <w:lang w:eastAsia="ru-RU"/>
            </w:rPr>
          </w:pPr>
          <w:hyperlink w:anchor="_Toc356162042" w:history="1">
            <w:r w:rsidR="00D82823" w:rsidRPr="00BB1D11">
              <w:rPr>
                <w:rStyle w:val="aa"/>
                <w:rFonts w:cs="Times New Roman"/>
                <w:noProof/>
              </w:rPr>
              <w:t xml:space="preserve">Глава </w:t>
            </w:r>
            <w:r w:rsidR="00D82823" w:rsidRPr="00BB1D11">
              <w:rPr>
                <w:rStyle w:val="aa"/>
                <w:rFonts w:cs="Times New Roman"/>
                <w:noProof/>
                <w:lang w:val="en-US"/>
              </w:rPr>
              <w:t>I</w:t>
            </w:r>
            <w:r w:rsidR="00D82823" w:rsidRPr="00BB1D11">
              <w:rPr>
                <w:rStyle w:val="aa"/>
                <w:rFonts w:cs="Times New Roman"/>
                <w:noProof/>
              </w:rPr>
              <w:t>. Значение раскрытия информации эмитентами на рынке ценных бумаг</w:t>
            </w:r>
            <w:r w:rsidR="00D82823">
              <w:rPr>
                <w:noProof/>
                <w:webHidden/>
              </w:rPr>
              <w:tab/>
            </w:r>
            <w:r>
              <w:rPr>
                <w:noProof/>
                <w:webHidden/>
              </w:rPr>
              <w:fldChar w:fldCharType="begin"/>
            </w:r>
            <w:r w:rsidR="00D82823">
              <w:rPr>
                <w:noProof/>
                <w:webHidden/>
              </w:rPr>
              <w:instrText xml:space="preserve"> PAGEREF _Toc356162042 \h </w:instrText>
            </w:r>
            <w:r>
              <w:rPr>
                <w:noProof/>
                <w:webHidden/>
              </w:rPr>
            </w:r>
            <w:r>
              <w:rPr>
                <w:noProof/>
                <w:webHidden/>
              </w:rPr>
              <w:fldChar w:fldCharType="separate"/>
            </w:r>
            <w:r w:rsidR="00E73E92">
              <w:rPr>
                <w:noProof/>
                <w:webHidden/>
              </w:rPr>
              <w:t>8</w:t>
            </w:r>
            <w:r>
              <w:rPr>
                <w:noProof/>
                <w:webHidden/>
              </w:rPr>
              <w:fldChar w:fldCharType="end"/>
            </w:r>
          </w:hyperlink>
        </w:p>
        <w:p w:rsidR="00D82823" w:rsidRDefault="001B3246">
          <w:pPr>
            <w:pStyle w:val="23"/>
            <w:rPr>
              <w:rFonts w:eastAsiaTheme="minorEastAsia"/>
              <w:noProof/>
              <w:lang w:eastAsia="ru-RU"/>
            </w:rPr>
          </w:pPr>
          <w:hyperlink w:anchor="_Toc356162043" w:history="1">
            <w:r w:rsidR="00D82823" w:rsidRPr="00BB1D11">
              <w:rPr>
                <w:rStyle w:val="aa"/>
                <w:rFonts w:cs="Times New Roman"/>
                <w:noProof/>
              </w:rPr>
              <w:t>§1. Понятие и необходимость раскрытия информации. Принцип информационной прозрачности</w:t>
            </w:r>
            <w:r w:rsidR="00D82823">
              <w:rPr>
                <w:noProof/>
                <w:webHidden/>
              </w:rPr>
              <w:tab/>
            </w:r>
            <w:r>
              <w:rPr>
                <w:noProof/>
                <w:webHidden/>
              </w:rPr>
              <w:fldChar w:fldCharType="begin"/>
            </w:r>
            <w:r w:rsidR="00D82823">
              <w:rPr>
                <w:noProof/>
                <w:webHidden/>
              </w:rPr>
              <w:instrText xml:space="preserve"> PAGEREF _Toc356162043 \h </w:instrText>
            </w:r>
            <w:r>
              <w:rPr>
                <w:noProof/>
                <w:webHidden/>
              </w:rPr>
            </w:r>
            <w:r>
              <w:rPr>
                <w:noProof/>
                <w:webHidden/>
              </w:rPr>
              <w:fldChar w:fldCharType="separate"/>
            </w:r>
            <w:r w:rsidR="00E73E92">
              <w:rPr>
                <w:noProof/>
                <w:webHidden/>
              </w:rPr>
              <w:t>8</w:t>
            </w:r>
            <w:r>
              <w:rPr>
                <w:noProof/>
                <w:webHidden/>
              </w:rPr>
              <w:fldChar w:fldCharType="end"/>
            </w:r>
          </w:hyperlink>
        </w:p>
        <w:p w:rsidR="00D82823" w:rsidRDefault="001B3246">
          <w:pPr>
            <w:pStyle w:val="23"/>
            <w:rPr>
              <w:rFonts w:eastAsiaTheme="minorEastAsia"/>
              <w:noProof/>
              <w:lang w:eastAsia="ru-RU"/>
            </w:rPr>
          </w:pPr>
          <w:hyperlink w:anchor="_Toc356162044" w:history="1">
            <w:r w:rsidR="00D82823" w:rsidRPr="00BB1D11">
              <w:rPr>
                <w:rStyle w:val="aa"/>
                <w:rFonts w:cs="Times New Roman"/>
                <w:noProof/>
              </w:rPr>
              <w:t>§2. Эмитенты, обязанные раскрывать информацию</w:t>
            </w:r>
            <w:r w:rsidR="00D82823">
              <w:rPr>
                <w:noProof/>
                <w:webHidden/>
              </w:rPr>
              <w:tab/>
            </w:r>
            <w:r>
              <w:rPr>
                <w:noProof/>
                <w:webHidden/>
              </w:rPr>
              <w:fldChar w:fldCharType="begin"/>
            </w:r>
            <w:r w:rsidR="00D82823">
              <w:rPr>
                <w:noProof/>
                <w:webHidden/>
              </w:rPr>
              <w:instrText xml:space="preserve"> PAGEREF _Toc356162044 \h </w:instrText>
            </w:r>
            <w:r>
              <w:rPr>
                <w:noProof/>
                <w:webHidden/>
              </w:rPr>
            </w:r>
            <w:r>
              <w:rPr>
                <w:noProof/>
                <w:webHidden/>
              </w:rPr>
              <w:fldChar w:fldCharType="separate"/>
            </w:r>
            <w:r w:rsidR="00E73E92">
              <w:rPr>
                <w:noProof/>
                <w:webHidden/>
              </w:rPr>
              <w:t>13</w:t>
            </w:r>
            <w:r>
              <w:rPr>
                <w:noProof/>
                <w:webHidden/>
              </w:rPr>
              <w:fldChar w:fldCharType="end"/>
            </w:r>
          </w:hyperlink>
        </w:p>
        <w:p w:rsidR="00D82823" w:rsidRDefault="001B3246">
          <w:pPr>
            <w:pStyle w:val="23"/>
            <w:rPr>
              <w:rFonts w:eastAsiaTheme="minorEastAsia"/>
              <w:noProof/>
              <w:lang w:eastAsia="ru-RU"/>
            </w:rPr>
          </w:pPr>
          <w:hyperlink w:anchor="_Toc356162045" w:history="1">
            <w:r w:rsidR="00D82823" w:rsidRPr="00BB1D11">
              <w:rPr>
                <w:rStyle w:val="aa"/>
                <w:rFonts w:cs="Times New Roman"/>
                <w:noProof/>
              </w:rPr>
              <w:t>§3. Уполномоченный орган, регулирующий раскрытие информации эмитентами</w:t>
            </w:r>
            <w:r w:rsidR="00D82823">
              <w:rPr>
                <w:noProof/>
                <w:webHidden/>
              </w:rPr>
              <w:tab/>
            </w:r>
            <w:r>
              <w:rPr>
                <w:noProof/>
                <w:webHidden/>
              </w:rPr>
              <w:fldChar w:fldCharType="begin"/>
            </w:r>
            <w:r w:rsidR="00D82823">
              <w:rPr>
                <w:noProof/>
                <w:webHidden/>
              </w:rPr>
              <w:instrText xml:space="preserve"> PAGEREF _Toc356162045 \h </w:instrText>
            </w:r>
            <w:r>
              <w:rPr>
                <w:noProof/>
                <w:webHidden/>
              </w:rPr>
            </w:r>
            <w:r>
              <w:rPr>
                <w:noProof/>
                <w:webHidden/>
              </w:rPr>
              <w:fldChar w:fldCharType="separate"/>
            </w:r>
            <w:r w:rsidR="00E73E92">
              <w:rPr>
                <w:noProof/>
                <w:webHidden/>
              </w:rPr>
              <w:t>18</w:t>
            </w:r>
            <w:r>
              <w:rPr>
                <w:noProof/>
                <w:webHidden/>
              </w:rPr>
              <w:fldChar w:fldCharType="end"/>
            </w:r>
          </w:hyperlink>
        </w:p>
        <w:p w:rsidR="00D82823" w:rsidRDefault="001B3246">
          <w:pPr>
            <w:pStyle w:val="23"/>
            <w:rPr>
              <w:rFonts w:eastAsiaTheme="minorEastAsia"/>
              <w:noProof/>
              <w:lang w:eastAsia="ru-RU"/>
            </w:rPr>
          </w:pPr>
          <w:hyperlink w:anchor="_Toc356162046" w:history="1">
            <w:r w:rsidR="00D82823" w:rsidRPr="00BB1D11">
              <w:rPr>
                <w:rStyle w:val="aa"/>
                <w:rFonts w:cs="Times New Roman"/>
                <w:noProof/>
              </w:rPr>
              <w:t>§4. Нормативно-правовая база раскрытия информации</w:t>
            </w:r>
            <w:r w:rsidR="00D82823">
              <w:rPr>
                <w:noProof/>
                <w:webHidden/>
              </w:rPr>
              <w:tab/>
            </w:r>
            <w:r>
              <w:rPr>
                <w:noProof/>
                <w:webHidden/>
              </w:rPr>
              <w:fldChar w:fldCharType="begin"/>
            </w:r>
            <w:r w:rsidR="00D82823">
              <w:rPr>
                <w:noProof/>
                <w:webHidden/>
              </w:rPr>
              <w:instrText xml:space="preserve"> PAGEREF _Toc356162046 \h </w:instrText>
            </w:r>
            <w:r>
              <w:rPr>
                <w:noProof/>
                <w:webHidden/>
              </w:rPr>
            </w:r>
            <w:r>
              <w:rPr>
                <w:noProof/>
                <w:webHidden/>
              </w:rPr>
              <w:fldChar w:fldCharType="separate"/>
            </w:r>
            <w:r w:rsidR="00E73E92">
              <w:rPr>
                <w:noProof/>
                <w:webHidden/>
              </w:rPr>
              <w:t>22</w:t>
            </w:r>
            <w:r>
              <w:rPr>
                <w:noProof/>
                <w:webHidden/>
              </w:rPr>
              <w:fldChar w:fldCharType="end"/>
            </w:r>
          </w:hyperlink>
        </w:p>
        <w:p w:rsidR="00D82823" w:rsidRDefault="001B3246">
          <w:pPr>
            <w:pStyle w:val="23"/>
            <w:rPr>
              <w:rFonts w:eastAsiaTheme="minorEastAsia"/>
              <w:noProof/>
              <w:lang w:eastAsia="ru-RU"/>
            </w:rPr>
          </w:pPr>
          <w:hyperlink w:anchor="_Toc356162047" w:history="1">
            <w:r w:rsidR="00D82823" w:rsidRPr="00BB1D11">
              <w:rPr>
                <w:rStyle w:val="aa"/>
                <w:rFonts w:cs="Times New Roman"/>
                <w:noProof/>
              </w:rPr>
              <w:t>§5. Выводы</w:t>
            </w:r>
            <w:r w:rsidR="00D82823">
              <w:rPr>
                <w:noProof/>
                <w:webHidden/>
              </w:rPr>
              <w:tab/>
            </w:r>
            <w:r>
              <w:rPr>
                <w:noProof/>
                <w:webHidden/>
              </w:rPr>
              <w:fldChar w:fldCharType="begin"/>
            </w:r>
            <w:r w:rsidR="00D82823">
              <w:rPr>
                <w:noProof/>
                <w:webHidden/>
              </w:rPr>
              <w:instrText xml:space="preserve"> PAGEREF _Toc356162047 \h </w:instrText>
            </w:r>
            <w:r>
              <w:rPr>
                <w:noProof/>
                <w:webHidden/>
              </w:rPr>
            </w:r>
            <w:r>
              <w:rPr>
                <w:noProof/>
                <w:webHidden/>
              </w:rPr>
              <w:fldChar w:fldCharType="separate"/>
            </w:r>
            <w:r w:rsidR="00E73E92">
              <w:rPr>
                <w:noProof/>
                <w:webHidden/>
              </w:rPr>
              <w:t>25</w:t>
            </w:r>
            <w:r>
              <w:rPr>
                <w:noProof/>
                <w:webHidden/>
              </w:rPr>
              <w:fldChar w:fldCharType="end"/>
            </w:r>
          </w:hyperlink>
        </w:p>
        <w:p w:rsidR="00D82823" w:rsidRDefault="001B3246">
          <w:pPr>
            <w:pStyle w:val="11"/>
            <w:tabs>
              <w:tab w:val="right" w:leader="dot" w:pos="9344"/>
            </w:tabs>
            <w:rPr>
              <w:rFonts w:eastAsiaTheme="minorEastAsia"/>
              <w:noProof/>
              <w:lang w:eastAsia="ru-RU"/>
            </w:rPr>
          </w:pPr>
          <w:hyperlink w:anchor="_Toc356162048" w:history="1">
            <w:r w:rsidR="00D82823" w:rsidRPr="00BB1D11">
              <w:rPr>
                <w:rStyle w:val="aa"/>
                <w:rFonts w:cs="Times New Roman"/>
                <w:noProof/>
              </w:rPr>
              <w:t xml:space="preserve">Глава </w:t>
            </w:r>
            <w:r w:rsidR="00D82823" w:rsidRPr="00BB1D11">
              <w:rPr>
                <w:rStyle w:val="aa"/>
                <w:rFonts w:cs="Times New Roman"/>
                <w:noProof/>
                <w:lang w:val="en-US"/>
              </w:rPr>
              <w:t>II</w:t>
            </w:r>
            <w:r w:rsidR="00D82823" w:rsidRPr="00BB1D11">
              <w:rPr>
                <w:rStyle w:val="aa"/>
                <w:rFonts w:cs="Times New Roman"/>
                <w:noProof/>
              </w:rPr>
              <w:t>. Объем информации, подлежащей обязательному раскрытию эмитентами</w:t>
            </w:r>
            <w:r w:rsidR="00D82823">
              <w:rPr>
                <w:noProof/>
                <w:webHidden/>
              </w:rPr>
              <w:tab/>
            </w:r>
            <w:r>
              <w:rPr>
                <w:noProof/>
                <w:webHidden/>
              </w:rPr>
              <w:fldChar w:fldCharType="begin"/>
            </w:r>
            <w:r w:rsidR="00D82823">
              <w:rPr>
                <w:noProof/>
                <w:webHidden/>
              </w:rPr>
              <w:instrText xml:space="preserve"> PAGEREF _Toc356162048 \h </w:instrText>
            </w:r>
            <w:r>
              <w:rPr>
                <w:noProof/>
                <w:webHidden/>
              </w:rPr>
            </w:r>
            <w:r>
              <w:rPr>
                <w:noProof/>
                <w:webHidden/>
              </w:rPr>
              <w:fldChar w:fldCharType="separate"/>
            </w:r>
            <w:r w:rsidR="00E73E92">
              <w:rPr>
                <w:noProof/>
                <w:webHidden/>
              </w:rPr>
              <w:t>28</w:t>
            </w:r>
            <w:r>
              <w:rPr>
                <w:noProof/>
                <w:webHidden/>
              </w:rPr>
              <w:fldChar w:fldCharType="end"/>
            </w:r>
          </w:hyperlink>
        </w:p>
        <w:p w:rsidR="00D82823" w:rsidRDefault="001B3246">
          <w:pPr>
            <w:pStyle w:val="23"/>
            <w:rPr>
              <w:rFonts w:eastAsiaTheme="minorEastAsia"/>
              <w:noProof/>
              <w:lang w:eastAsia="ru-RU"/>
            </w:rPr>
          </w:pPr>
          <w:hyperlink w:anchor="_Toc356162049" w:history="1">
            <w:r w:rsidR="00D82823" w:rsidRPr="00BB1D11">
              <w:rPr>
                <w:rStyle w:val="aa"/>
                <w:rFonts w:cs="Times New Roman"/>
                <w:noProof/>
              </w:rPr>
              <w:t>§1. Формы раскрытия информации</w:t>
            </w:r>
            <w:r w:rsidR="00D82823">
              <w:rPr>
                <w:noProof/>
                <w:webHidden/>
              </w:rPr>
              <w:tab/>
            </w:r>
            <w:r>
              <w:rPr>
                <w:noProof/>
                <w:webHidden/>
              </w:rPr>
              <w:fldChar w:fldCharType="begin"/>
            </w:r>
            <w:r w:rsidR="00D82823">
              <w:rPr>
                <w:noProof/>
                <w:webHidden/>
              </w:rPr>
              <w:instrText xml:space="preserve"> PAGEREF _Toc356162049 \h </w:instrText>
            </w:r>
            <w:r>
              <w:rPr>
                <w:noProof/>
                <w:webHidden/>
              </w:rPr>
            </w:r>
            <w:r>
              <w:rPr>
                <w:noProof/>
                <w:webHidden/>
              </w:rPr>
              <w:fldChar w:fldCharType="separate"/>
            </w:r>
            <w:r w:rsidR="00E73E92">
              <w:rPr>
                <w:noProof/>
                <w:webHidden/>
              </w:rPr>
              <w:t>28</w:t>
            </w:r>
            <w:r>
              <w:rPr>
                <w:noProof/>
                <w:webHidden/>
              </w:rPr>
              <w:fldChar w:fldCharType="end"/>
            </w:r>
          </w:hyperlink>
        </w:p>
        <w:p w:rsidR="00D82823" w:rsidRDefault="001B3246">
          <w:pPr>
            <w:pStyle w:val="31"/>
            <w:tabs>
              <w:tab w:val="right" w:leader="dot" w:pos="9344"/>
            </w:tabs>
            <w:rPr>
              <w:noProof/>
            </w:rPr>
          </w:pPr>
          <w:hyperlink w:anchor="_Toc356162050" w:history="1">
            <w:r w:rsidR="00D82823" w:rsidRPr="00BB1D11">
              <w:rPr>
                <w:rStyle w:val="aa"/>
                <w:rFonts w:cs="Times New Roman"/>
                <w:noProof/>
              </w:rPr>
              <w:t>§1.1 Периодическое раскрытие информации</w:t>
            </w:r>
            <w:r w:rsidR="00D82823">
              <w:rPr>
                <w:noProof/>
                <w:webHidden/>
              </w:rPr>
              <w:tab/>
            </w:r>
            <w:r>
              <w:rPr>
                <w:noProof/>
                <w:webHidden/>
              </w:rPr>
              <w:fldChar w:fldCharType="begin"/>
            </w:r>
            <w:r w:rsidR="00D82823">
              <w:rPr>
                <w:noProof/>
                <w:webHidden/>
              </w:rPr>
              <w:instrText xml:space="preserve"> PAGEREF _Toc356162050 \h </w:instrText>
            </w:r>
            <w:r>
              <w:rPr>
                <w:noProof/>
                <w:webHidden/>
              </w:rPr>
            </w:r>
            <w:r>
              <w:rPr>
                <w:noProof/>
                <w:webHidden/>
              </w:rPr>
              <w:fldChar w:fldCharType="separate"/>
            </w:r>
            <w:r w:rsidR="00E73E92">
              <w:rPr>
                <w:noProof/>
                <w:webHidden/>
              </w:rPr>
              <w:t>28</w:t>
            </w:r>
            <w:r>
              <w:rPr>
                <w:noProof/>
                <w:webHidden/>
              </w:rPr>
              <w:fldChar w:fldCharType="end"/>
            </w:r>
          </w:hyperlink>
        </w:p>
        <w:p w:rsidR="00D82823" w:rsidRDefault="001B3246">
          <w:pPr>
            <w:pStyle w:val="31"/>
            <w:tabs>
              <w:tab w:val="right" w:leader="dot" w:pos="9344"/>
            </w:tabs>
            <w:rPr>
              <w:noProof/>
            </w:rPr>
          </w:pPr>
          <w:hyperlink w:anchor="_Toc356162051" w:history="1">
            <w:r w:rsidR="00D82823" w:rsidRPr="00BB1D11">
              <w:rPr>
                <w:rStyle w:val="aa"/>
                <w:rFonts w:cs="Times New Roman"/>
                <w:noProof/>
              </w:rPr>
              <w:t>§1.2 Непериодическое раскрытие информации</w:t>
            </w:r>
            <w:r w:rsidR="00D82823">
              <w:rPr>
                <w:noProof/>
                <w:webHidden/>
              </w:rPr>
              <w:tab/>
            </w:r>
            <w:r>
              <w:rPr>
                <w:noProof/>
                <w:webHidden/>
              </w:rPr>
              <w:fldChar w:fldCharType="begin"/>
            </w:r>
            <w:r w:rsidR="00D82823">
              <w:rPr>
                <w:noProof/>
                <w:webHidden/>
              </w:rPr>
              <w:instrText xml:space="preserve"> PAGEREF _Toc356162051 \h </w:instrText>
            </w:r>
            <w:r>
              <w:rPr>
                <w:noProof/>
                <w:webHidden/>
              </w:rPr>
            </w:r>
            <w:r>
              <w:rPr>
                <w:noProof/>
                <w:webHidden/>
              </w:rPr>
              <w:fldChar w:fldCharType="separate"/>
            </w:r>
            <w:r w:rsidR="00E73E92">
              <w:rPr>
                <w:noProof/>
                <w:webHidden/>
              </w:rPr>
              <w:t>39</w:t>
            </w:r>
            <w:r>
              <w:rPr>
                <w:noProof/>
                <w:webHidden/>
              </w:rPr>
              <w:fldChar w:fldCharType="end"/>
            </w:r>
          </w:hyperlink>
        </w:p>
        <w:p w:rsidR="00D82823" w:rsidRDefault="001B3246">
          <w:pPr>
            <w:pStyle w:val="23"/>
            <w:rPr>
              <w:rFonts w:eastAsiaTheme="minorEastAsia"/>
              <w:noProof/>
              <w:lang w:eastAsia="ru-RU"/>
            </w:rPr>
          </w:pPr>
          <w:hyperlink w:anchor="_Toc356162052" w:history="1">
            <w:r w:rsidR="00D82823" w:rsidRPr="00BB1D11">
              <w:rPr>
                <w:rStyle w:val="aa"/>
                <w:rFonts w:cs="Times New Roman"/>
                <w:noProof/>
              </w:rPr>
              <w:t>§2. Способы раскрытия информации</w:t>
            </w:r>
            <w:r w:rsidR="00D82823">
              <w:rPr>
                <w:noProof/>
                <w:webHidden/>
              </w:rPr>
              <w:tab/>
            </w:r>
            <w:r>
              <w:rPr>
                <w:noProof/>
                <w:webHidden/>
              </w:rPr>
              <w:fldChar w:fldCharType="begin"/>
            </w:r>
            <w:r w:rsidR="00D82823">
              <w:rPr>
                <w:noProof/>
                <w:webHidden/>
              </w:rPr>
              <w:instrText xml:space="preserve"> PAGEREF _Toc356162052 \h </w:instrText>
            </w:r>
            <w:r>
              <w:rPr>
                <w:noProof/>
                <w:webHidden/>
              </w:rPr>
            </w:r>
            <w:r>
              <w:rPr>
                <w:noProof/>
                <w:webHidden/>
              </w:rPr>
              <w:fldChar w:fldCharType="separate"/>
            </w:r>
            <w:r w:rsidR="00E73E92">
              <w:rPr>
                <w:noProof/>
                <w:webHidden/>
              </w:rPr>
              <w:t>40</w:t>
            </w:r>
            <w:r>
              <w:rPr>
                <w:noProof/>
                <w:webHidden/>
              </w:rPr>
              <w:fldChar w:fldCharType="end"/>
            </w:r>
          </w:hyperlink>
        </w:p>
        <w:p w:rsidR="00D82823" w:rsidRDefault="001B3246">
          <w:pPr>
            <w:pStyle w:val="23"/>
            <w:rPr>
              <w:rFonts w:eastAsiaTheme="minorEastAsia"/>
              <w:noProof/>
              <w:lang w:eastAsia="ru-RU"/>
            </w:rPr>
          </w:pPr>
          <w:hyperlink w:anchor="_Toc356162053" w:history="1">
            <w:r w:rsidR="00D82823" w:rsidRPr="00BB1D11">
              <w:rPr>
                <w:rStyle w:val="aa"/>
                <w:rFonts w:cs="Times New Roman"/>
                <w:noProof/>
              </w:rPr>
              <w:t>§3. Освобождение от раскрытия информации</w:t>
            </w:r>
            <w:r w:rsidR="00D82823">
              <w:rPr>
                <w:noProof/>
                <w:webHidden/>
              </w:rPr>
              <w:tab/>
            </w:r>
            <w:r>
              <w:rPr>
                <w:noProof/>
                <w:webHidden/>
              </w:rPr>
              <w:fldChar w:fldCharType="begin"/>
            </w:r>
            <w:r w:rsidR="00D82823">
              <w:rPr>
                <w:noProof/>
                <w:webHidden/>
              </w:rPr>
              <w:instrText xml:space="preserve"> PAGEREF _Toc356162053 \h </w:instrText>
            </w:r>
            <w:r>
              <w:rPr>
                <w:noProof/>
                <w:webHidden/>
              </w:rPr>
            </w:r>
            <w:r>
              <w:rPr>
                <w:noProof/>
                <w:webHidden/>
              </w:rPr>
              <w:fldChar w:fldCharType="separate"/>
            </w:r>
            <w:r w:rsidR="00E73E92">
              <w:rPr>
                <w:noProof/>
                <w:webHidden/>
              </w:rPr>
              <w:t>43</w:t>
            </w:r>
            <w:r>
              <w:rPr>
                <w:noProof/>
                <w:webHidden/>
              </w:rPr>
              <w:fldChar w:fldCharType="end"/>
            </w:r>
          </w:hyperlink>
        </w:p>
        <w:p w:rsidR="00D82823" w:rsidRDefault="001B3246">
          <w:pPr>
            <w:pStyle w:val="23"/>
            <w:rPr>
              <w:rFonts w:eastAsiaTheme="minorEastAsia"/>
              <w:noProof/>
              <w:lang w:eastAsia="ru-RU"/>
            </w:rPr>
          </w:pPr>
          <w:hyperlink w:anchor="_Toc356162054" w:history="1">
            <w:r w:rsidR="00D82823" w:rsidRPr="00BB1D11">
              <w:rPr>
                <w:rStyle w:val="aa"/>
                <w:rFonts w:cs="Times New Roman"/>
                <w:noProof/>
              </w:rPr>
              <w:t>§4. Выводы</w:t>
            </w:r>
            <w:r w:rsidR="00D82823">
              <w:rPr>
                <w:noProof/>
                <w:webHidden/>
              </w:rPr>
              <w:tab/>
            </w:r>
            <w:r>
              <w:rPr>
                <w:noProof/>
                <w:webHidden/>
              </w:rPr>
              <w:fldChar w:fldCharType="begin"/>
            </w:r>
            <w:r w:rsidR="00D82823">
              <w:rPr>
                <w:noProof/>
                <w:webHidden/>
              </w:rPr>
              <w:instrText xml:space="preserve"> PAGEREF _Toc356162054 \h </w:instrText>
            </w:r>
            <w:r>
              <w:rPr>
                <w:noProof/>
                <w:webHidden/>
              </w:rPr>
            </w:r>
            <w:r>
              <w:rPr>
                <w:noProof/>
                <w:webHidden/>
              </w:rPr>
              <w:fldChar w:fldCharType="separate"/>
            </w:r>
            <w:r w:rsidR="00E73E92">
              <w:rPr>
                <w:noProof/>
                <w:webHidden/>
              </w:rPr>
              <w:t>46</w:t>
            </w:r>
            <w:r>
              <w:rPr>
                <w:noProof/>
                <w:webHidden/>
              </w:rPr>
              <w:fldChar w:fldCharType="end"/>
            </w:r>
          </w:hyperlink>
        </w:p>
        <w:p w:rsidR="00D82823" w:rsidRDefault="001B3246">
          <w:pPr>
            <w:pStyle w:val="11"/>
            <w:tabs>
              <w:tab w:val="left" w:pos="1100"/>
              <w:tab w:val="right" w:leader="dot" w:pos="9344"/>
            </w:tabs>
            <w:rPr>
              <w:rFonts w:eastAsiaTheme="minorEastAsia"/>
              <w:noProof/>
              <w:lang w:eastAsia="ru-RU"/>
            </w:rPr>
          </w:pPr>
          <w:hyperlink w:anchor="_Toc356162055" w:history="1">
            <w:r w:rsidR="00D82823" w:rsidRPr="00BB1D11">
              <w:rPr>
                <w:rStyle w:val="aa"/>
                <w:rFonts w:cs="Times New Roman"/>
                <w:noProof/>
              </w:rPr>
              <w:t>Глава III.</w:t>
            </w:r>
            <w:r w:rsidR="00D82823">
              <w:rPr>
                <w:rFonts w:eastAsiaTheme="minorEastAsia"/>
                <w:noProof/>
                <w:lang w:eastAsia="ru-RU"/>
              </w:rPr>
              <w:tab/>
            </w:r>
            <w:r w:rsidR="00D82823" w:rsidRPr="00BB1D11">
              <w:rPr>
                <w:rStyle w:val="aa"/>
                <w:rFonts w:cs="Times New Roman"/>
                <w:noProof/>
              </w:rPr>
              <w:t>Правовые последствия нарушения требований по раскрытию информации эмитентами на рынке ценных бумаг</w:t>
            </w:r>
            <w:r w:rsidR="00D82823">
              <w:rPr>
                <w:noProof/>
                <w:webHidden/>
              </w:rPr>
              <w:tab/>
            </w:r>
            <w:r>
              <w:rPr>
                <w:noProof/>
                <w:webHidden/>
              </w:rPr>
              <w:fldChar w:fldCharType="begin"/>
            </w:r>
            <w:r w:rsidR="00D82823">
              <w:rPr>
                <w:noProof/>
                <w:webHidden/>
              </w:rPr>
              <w:instrText xml:space="preserve"> PAGEREF _Toc356162055 \h </w:instrText>
            </w:r>
            <w:r>
              <w:rPr>
                <w:noProof/>
                <w:webHidden/>
              </w:rPr>
            </w:r>
            <w:r>
              <w:rPr>
                <w:noProof/>
                <w:webHidden/>
              </w:rPr>
              <w:fldChar w:fldCharType="separate"/>
            </w:r>
            <w:r w:rsidR="00E73E92">
              <w:rPr>
                <w:noProof/>
                <w:webHidden/>
              </w:rPr>
              <w:t>49</w:t>
            </w:r>
            <w:r>
              <w:rPr>
                <w:noProof/>
                <w:webHidden/>
              </w:rPr>
              <w:fldChar w:fldCharType="end"/>
            </w:r>
          </w:hyperlink>
        </w:p>
        <w:p w:rsidR="00D82823" w:rsidRDefault="001B3246">
          <w:pPr>
            <w:pStyle w:val="23"/>
            <w:rPr>
              <w:rFonts w:eastAsiaTheme="minorEastAsia"/>
              <w:noProof/>
              <w:lang w:eastAsia="ru-RU"/>
            </w:rPr>
          </w:pPr>
          <w:hyperlink w:anchor="_Toc356162056" w:history="1">
            <w:r w:rsidR="00D82823" w:rsidRPr="00BB1D11">
              <w:rPr>
                <w:rStyle w:val="aa"/>
                <w:rFonts w:cs="Times New Roman"/>
                <w:noProof/>
              </w:rPr>
              <w:t>§1. Административная ответственность за нарушение требований по раскрытию информации</w:t>
            </w:r>
            <w:r w:rsidR="00D82823">
              <w:rPr>
                <w:noProof/>
                <w:webHidden/>
              </w:rPr>
              <w:tab/>
            </w:r>
            <w:r>
              <w:rPr>
                <w:noProof/>
                <w:webHidden/>
              </w:rPr>
              <w:fldChar w:fldCharType="begin"/>
            </w:r>
            <w:r w:rsidR="00D82823">
              <w:rPr>
                <w:noProof/>
                <w:webHidden/>
              </w:rPr>
              <w:instrText xml:space="preserve"> PAGEREF _Toc356162056 \h </w:instrText>
            </w:r>
            <w:r>
              <w:rPr>
                <w:noProof/>
                <w:webHidden/>
              </w:rPr>
            </w:r>
            <w:r>
              <w:rPr>
                <w:noProof/>
                <w:webHidden/>
              </w:rPr>
              <w:fldChar w:fldCharType="separate"/>
            </w:r>
            <w:r w:rsidR="00E73E92">
              <w:rPr>
                <w:noProof/>
                <w:webHidden/>
              </w:rPr>
              <w:t>50</w:t>
            </w:r>
            <w:r>
              <w:rPr>
                <w:noProof/>
                <w:webHidden/>
              </w:rPr>
              <w:fldChar w:fldCharType="end"/>
            </w:r>
          </w:hyperlink>
        </w:p>
        <w:p w:rsidR="00D82823" w:rsidRDefault="001B3246">
          <w:pPr>
            <w:pStyle w:val="31"/>
            <w:tabs>
              <w:tab w:val="right" w:leader="dot" w:pos="9344"/>
            </w:tabs>
            <w:rPr>
              <w:noProof/>
            </w:rPr>
          </w:pPr>
          <w:hyperlink w:anchor="_Toc356162057" w:history="1">
            <w:r w:rsidR="00D82823" w:rsidRPr="00BB1D11">
              <w:rPr>
                <w:rStyle w:val="aa"/>
                <w:rFonts w:cs="Times New Roman"/>
                <w:noProof/>
              </w:rPr>
              <w:t>§§1.1 Административное правонарушение:  понятие и состав</w:t>
            </w:r>
            <w:r w:rsidR="00D82823">
              <w:rPr>
                <w:noProof/>
                <w:webHidden/>
              </w:rPr>
              <w:tab/>
            </w:r>
            <w:r>
              <w:rPr>
                <w:noProof/>
                <w:webHidden/>
              </w:rPr>
              <w:fldChar w:fldCharType="begin"/>
            </w:r>
            <w:r w:rsidR="00D82823">
              <w:rPr>
                <w:noProof/>
                <w:webHidden/>
              </w:rPr>
              <w:instrText xml:space="preserve"> PAGEREF _Toc356162057 \h </w:instrText>
            </w:r>
            <w:r>
              <w:rPr>
                <w:noProof/>
                <w:webHidden/>
              </w:rPr>
            </w:r>
            <w:r>
              <w:rPr>
                <w:noProof/>
                <w:webHidden/>
              </w:rPr>
              <w:fldChar w:fldCharType="separate"/>
            </w:r>
            <w:r w:rsidR="00E73E92">
              <w:rPr>
                <w:noProof/>
                <w:webHidden/>
              </w:rPr>
              <w:t>50</w:t>
            </w:r>
            <w:r>
              <w:rPr>
                <w:noProof/>
                <w:webHidden/>
              </w:rPr>
              <w:fldChar w:fldCharType="end"/>
            </w:r>
          </w:hyperlink>
        </w:p>
        <w:p w:rsidR="00D82823" w:rsidRDefault="001B3246">
          <w:pPr>
            <w:pStyle w:val="31"/>
            <w:tabs>
              <w:tab w:val="right" w:leader="dot" w:pos="9344"/>
            </w:tabs>
            <w:rPr>
              <w:noProof/>
            </w:rPr>
          </w:pPr>
          <w:hyperlink w:anchor="_Toc356162058" w:history="1">
            <w:r w:rsidR="00D82823" w:rsidRPr="00BB1D11">
              <w:rPr>
                <w:rStyle w:val="aa"/>
                <w:rFonts w:cs="Times New Roman"/>
                <w:noProof/>
              </w:rPr>
              <w:t>§1.2 Неисполнение (ненадлежащее исполнение) эмитентом обязанности по раскрытию информации</w:t>
            </w:r>
            <w:r w:rsidR="00D82823">
              <w:rPr>
                <w:noProof/>
                <w:webHidden/>
              </w:rPr>
              <w:tab/>
            </w:r>
            <w:r>
              <w:rPr>
                <w:noProof/>
                <w:webHidden/>
              </w:rPr>
              <w:fldChar w:fldCharType="begin"/>
            </w:r>
            <w:r w:rsidR="00D82823">
              <w:rPr>
                <w:noProof/>
                <w:webHidden/>
              </w:rPr>
              <w:instrText xml:space="preserve"> PAGEREF _Toc356162058 \h </w:instrText>
            </w:r>
            <w:r>
              <w:rPr>
                <w:noProof/>
                <w:webHidden/>
              </w:rPr>
            </w:r>
            <w:r>
              <w:rPr>
                <w:noProof/>
                <w:webHidden/>
              </w:rPr>
              <w:fldChar w:fldCharType="separate"/>
            </w:r>
            <w:r w:rsidR="00E73E92">
              <w:rPr>
                <w:noProof/>
                <w:webHidden/>
              </w:rPr>
              <w:t>54</w:t>
            </w:r>
            <w:r>
              <w:rPr>
                <w:noProof/>
                <w:webHidden/>
              </w:rPr>
              <w:fldChar w:fldCharType="end"/>
            </w:r>
          </w:hyperlink>
        </w:p>
        <w:p w:rsidR="00D82823" w:rsidRDefault="001B3246">
          <w:pPr>
            <w:pStyle w:val="31"/>
            <w:tabs>
              <w:tab w:val="right" w:leader="dot" w:pos="9344"/>
            </w:tabs>
            <w:rPr>
              <w:noProof/>
            </w:rPr>
          </w:pPr>
          <w:hyperlink w:anchor="_Toc356162059" w:history="1">
            <w:r w:rsidR="00D82823" w:rsidRPr="00BB1D11">
              <w:rPr>
                <w:rStyle w:val="aa"/>
                <w:rFonts w:cs="Times New Roman"/>
                <w:noProof/>
              </w:rPr>
              <w:t>§1.3 Раскрытие эмитентом информации в неполном объеме</w:t>
            </w:r>
            <w:r w:rsidR="00D82823">
              <w:rPr>
                <w:noProof/>
                <w:webHidden/>
              </w:rPr>
              <w:tab/>
            </w:r>
            <w:r>
              <w:rPr>
                <w:noProof/>
                <w:webHidden/>
              </w:rPr>
              <w:fldChar w:fldCharType="begin"/>
            </w:r>
            <w:r w:rsidR="00D82823">
              <w:rPr>
                <w:noProof/>
                <w:webHidden/>
              </w:rPr>
              <w:instrText xml:space="preserve"> PAGEREF _Toc356162059 \h </w:instrText>
            </w:r>
            <w:r>
              <w:rPr>
                <w:noProof/>
                <w:webHidden/>
              </w:rPr>
            </w:r>
            <w:r>
              <w:rPr>
                <w:noProof/>
                <w:webHidden/>
              </w:rPr>
              <w:fldChar w:fldCharType="separate"/>
            </w:r>
            <w:r w:rsidR="00E73E92">
              <w:rPr>
                <w:noProof/>
                <w:webHidden/>
              </w:rPr>
              <w:t>62</w:t>
            </w:r>
            <w:r>
              <w:rPr>
                <w:noProof/>
                <w:webHidden/>
              </w:rPr>
              <w:fldChar w:fldCharType="end"/>
            </w:r>
          </w:hyperlink>
        </w:p>
        <w:p w:rsidR="00D82823" w:rsidRDefault="001B3246">
          <w:pPr>
            <w:pStyle w:val="31"/>
            <w:tabs>
              <w:tab w:val="right" w:leader="dot" w:pos="9344"/>
            </w:tabs>
            <w:rPr>
              <w:noProof/>
            </w:rPr>
          </w:pPr>
          <w:hyperlink w:anchor="_Toc356162060" w:history="1">
            <w:r w:rsidR="00D82823" w:rsidRPr="00BB1D11">
              <w:rPr>
                <w:rStyle w:val="aa"/>
                <w:rFonts w:cs="Times New Roman"/>
                <w:noProof/>
              </w:rPr>
              <w:t>§1.4 Раскрытие эмитентом недостоверной и (или) вводящей в заблуждение информации</w:t>
            </w:r>
            <w:r w:rsidR="00D82823">
              <w:rPr>
                <w:noProof/>
                <w:webHidden/>
              </w:rPr>
              <w:tab/>
            </w:r>
            <w:r>
              <w:rPr>
                <w:noProof/>
                <w:webHidden/>
              </w:rPr>
              <w:fldChar w:fldCharType="begin"/>
            </w:r>
            <w:r w:rsidR="00D82823">
              <w:rPr>
                <w:noProof/>
                <w:webHidden/>
              </w:rPr>
              <w:instrText xml:space="preserve"> PAGEREF _Toc356162060 \h </w:instrText>
            </w:r>
            <w:r>
              <w:rPr>
                <w:noProof/>
                <w:webHidden/>
              </w:rPr>
            </w:r>
            <w:r>
              <w:rPr>
                <w:noProof/>
                <w:webHidden/>
              </w:rPr>
              <w:fldChar w:fldCharType="separate"/>
            </w:r>
            <w:r w:rsidR="00E73E92">
              <w:rPr>
                <w:noProof/>
                <w:webHidden/>
              </w:rPr>
              <w:t>65</w:t>
            </w:r>
            <w:r>
              <w:rPr>
                <w:noProof/>
                <w:webHidden/>
              </w:rPr>
              <w:fldChar w:fldCharType="end"/>
            </w:r>
          </w:hyperlink>
        </w:p>
        <w:p w:rsidR="00D82823" w:rsidRDefault="001B3246">
          <w:pPr>
            <w:pStyle w:val="23"/>
            <w:rPr>
              <w:rFonts w:eastAsiaTheme="minorEastAsia"/>
              <w:noProof/>
              <w:lang w:eastAsia="ru-RU"/>
            </w:rPr>
          </w:pPr>
          <w:hyperlink w:anchor="_Toc356162061" w:history="1">
            <w:r w:rsidR="00D82823" w:rsidRPr="00BB1D11">
              <w:rPr>
                <w:rStyle w:val="aa"/>
                <w:rFonts w:cs="Times New Roman"/>
                <w:noProof/>
              </w:rPr>
              <w:t>§2. Уголовная ответственность за нарушение требований по раскрытию информации</w:t>
            </w:r>
            <w:r w:rsidR="00D82823">
              <w:rPr>
                <w:noProof/>
                <w:webHidden/>
              </w:rPr>
              <w:tab/>
            </w:r>
            <w:r>
              <w:rPr>
                <w:noProof/>
                <w:webHidden/>
              </w:rPr>
              <w:fldChar w:fldCharType="begin"/>
            </w:r>
            <w:r w:rsidR="00D82823">
              <w:rPr>
                <w:noProof/>
                <w:webHidden/>
              </w:rPr>
              <w:instrText xml:space="preserve"> PAGEREF _Toc356162061 \h </w:instrText>
            </w:r>
            <w:r>
              <w:rPr>
                <w:noProof/>
                <w:webHidden/>
              </w:rPr>
            </w:r>
            <w:r>
              <w:rPr>
                <w:noProof/>
                <w:webHidden/>
              </w:rPr>
              <w:fldChar w:fldCharType="separate"/>
            </w:r>
            <w:r w:rsidR="00E73E92">
              <w:rPr>
                <w:noProof/>
                <w:webHidden/>
              </w:rPr>
              <w:t>68</w:t>
            </w:r>
            <w:r>
              <w:rPr>
                <w:noProof/>
                <w:webHidden/>
              </w:rPr>
              <w:fldChar w:fldCharType="end"/>
            </w:r>
          </w:hyperlink>
        </w:p>
        <w:p w:rsidR="00D82823" w:rsidRDefault="001B3246">
          <w:pPr>
            <w:pStyle w:val="23"/>
            <w:rPr>
              <w:rFonts w:eastAsiaTheme="minorEastAsia"/>
              <w:noProof/>
              <w:lang w:eastAsia="ru-RU"/>
            </w:rPr>
          </w:pPr>
          <w:hyperlink w:anchor="_Toc356162062" w:history="1">
            <w:r w:rsidR="00D82823" w:rsidRPr="00BB1D11">
              <w:rPr>
                <w:rStyle w:val="aa"/>
                <w:rFonts w:cs="Times New Roman"/>
                <w:noProof/>
              </w:rPr>
              <w:t>§3. Гражданская ответственность за нарушение требований по раскрытию информации</w:t>
            </w:r>
            <w:r w:rsidR="00D82823">
              <w:rPr>
                <w:noProof/>
                <w:webHidden/>
              </w:rPr>
              <w:tab/>
            </w:r>
            <w:r>
              <w:rPr>
                <w:noProof/>
                <w:webHidden/>
              </w:rPr>
              <w:fldChar w:fldCharType="begin"/>
            </w:r>
            <w:r w:rsidR="00D82823">
              <w:rPr>
                <w:noProof/>
                <w:webHidden/>
              </w:rPr>
              <w:instrText xml:space="preserve"> PAGEREF _Toc356162062 \h </w:instrText>
            </w:r>
            <w:r>
              <w:rPr>
                <w:noProof/>
                <w:webHidden/>
              </w:rPr>
            </w:r>
            <w:r>
              <w:rPr>
                <w:noProof/>
                <w:webHidden/>
              </w:rPr>
              <w:fldChar w:fldCharType="separate"/>
            </w:r>
            <w:r w:rsidR="00E73E92">
              <w:rPr>
                <w:noProof/>
                <w:webHidden/>
              </w:rPr>
              <w:t>72</w:t>
            </w:r>
            <w:r>
              <w:rPr>
                <w:noProof/>
                <w:webHidden/>
              </w:rPr>
              <w:fldChar w:fldCharType="end"/>
            </w:r>
          </w:hyperlink>
        </w:p>
        <w:p w:rsidR="00D82823" w:rsidRDefault="001B3246">
          <w:pPr>
            <w:pStyle w:val="31"/>
            <w:tabs>
              <w:tab w:val="right" w:leader="dot" w:pos="9344"/>
            </w:tabs>
            <w:rPr>
              <w:noProof/>
            </w:rPr>
          </w:pPr>
          <w:hyperlink w:anchor="_Toc356162063" w:history="1">
            <w:r w:rsidR="00D82823" w:rsidRPr="00BB1D11">
              <w:rPr>
                <w:rStyle w:val="aa"/>
                <w:rFonts w:cs="Times New Roman"/>
                <w:noProof/>
              </w:rPr>
              <w:t>§3.1 Понятие гражданско-правовой ответственности</w:t>
            </w:r>
            <w:r w:rsidR="00D82823">
              <w:rPr>
                <w:noProof/>
                <w:webHidden/>
              </w:rPr>
              <w:tab/>
            </w:r>
            <w:r>
              <w:rPr>
                <w:noProof/>
                <w:webHidden/>
              </w:rPr>
              <w:fldChar w:fldCharType="begin"/>
            </w:r>
            <w:r w:rsidR="00D82823">
              <w:rPr>
                <w:noProof/>
                <w:webHidden/>
              </w:rPr>
              <w:instrText xml:space="preserve"> PAGEREF _Toc356162063 \h </w:instrText>
            </w:r>
            <w:r>
              <w:rPr>
                <w:noProof/>
                <w:webHidden/>
              </w:rPr>
            </w:r>
            <w:r>
              <w:rPr>
                <w:noProof/>
                <w:webHidden/>
              </w:rPr>
              <w:fldChar w:fldCharType="separate"/>
            </w:r>
            <w:r w:rsidR="00E73E92">
              <w:rPr>
                <w:noProof/>
                <w:webHidden/>
              </w:rPr>
              <w:t>72</w:t>
            </w:r>
            <w:r>
              <w:rPr>
                <w:noProof/>
                <w:webHidden/>
              </w:rPr>
              <w:fldChar w:fldCharType="end"/>
            </w:r>
          </w:hyperlink>
        </w:p>
        <w:p w:rsidR="00D82823" w:rsidRDefault="001B3246">
          <w:pPr>
            <w:pStyle w:val="31"/>
            <w:tabs>
              <w:tab w:val="right" w:leader="dot" w:pos="9344"/>
            </w:tabs>
            <w:rPr>
              <w:noProof/>
            </w:rPr>
          </w:pPr>
          <w:hyperlink w:anchor="_Toc356162064" w:history="1">
            <w:r w:rsidR="00D82823" w:rsidRPr="00BB1D11">
              <w:rPr>
                <w:rStyle w:val="aa"/>
                <w:rFonts w:cs="Times New Roman"/>
                <w:noProof/>
              </w:rPr>
              <w:t>§3.2 Состав гражданского правонарушения</w:t>
            </w:r>
            <w:r w:rsidR="00D82823">
              <w:rPr>
                <w:noProof/>
                <w:webHidden/>
              </w:rPr>
              <w:tab/>
            </w:r>
            <w:r>
              <w:rPr>
                <w:noProof/>
                <w:webHidden/>
              </w:rPr>
              <w:fldChar w:fldCharType="begin"/>
            </w:r>
            <w:r w:rsidR="00D82823">
              <w:rPr>
                <w:noProof/>
                <w:webHidden/>
              </w:rPr>
              <w:instrText xml:space="preserve"> PAGEREF _Toc356162064 \h </w:instrText>
            </w:r>
            <w:r>
              <w:rPr>
                <w:noProof/>
                <w:webHidden/>
              </w:rPr>
            </w:r>
            <w:r>
              <w:rPr>
                <w:noProof/>
                <w:webHidden/>
              </w:rPr>
              <w:fldChar w:fldCharType="separate"/>
            </w:r>
            <w:r w:rsidR="00E73E92">
              <w:rPr>
                <w:noProof/>
                <w:webHidden/>
              </w:rPr>
              <w:t>74</w:t>
            </w:r>
            <w:r>
              <w:rPr>
                <w:noProof/>
                <w:webHidden/>
              </w:rPr>
              <w:fldChar w:fldCharType="end"/>
            </w:r>
          </w:hyperlink>
        </w:p>
        <w:p w:rsidR="00D82823" w:rsidRDefault="001B3246">
          <w:pPr>
            <w:pStyle w:val="23"/>
            <w:rPr>
              <w:rFonts w:eastAsiaTheme="minorEastAsia"/>
              <w:noProof/>
              <w:lang w:eastAsia="ru-RU"/>
            </w:rPr>
          </w:pPr>
          <w:hyperlink w:anchor="_Toc356162065" w:history="1">
            <w:r w:rsidR="00D82823" w:rsidRPr="00BB1D11">
              <w:rPr>
                <w:rStyle w:val="aa"/>
                <w:rFonts w:cs="Times New Roman"/>
                <w:noProof/>
              </w:rPr>
              <w:t>§4. Выводы</w:t>
            </w:r>
            <w:r w:rsidR="00D82823">
              <w:rPr>
                <w:noProof/>
                <w:webHidden/>
              </w:rPr>
              <w:tab/>
            </w:r>
            <w:r>
              <w:rPr>
                <w:noProof/>
                <w:webHidden/>
              </w:rPr>
              <w:fldChar w:fldCharType="begin"/>
            </w:r>
            <w:r w:rsidR="00D82823">
              <w:rPr>
                <w:noProof/>
                <w:webHidden/>
              </w:rPr>
              <w:instrText xml:space="preserve"> PAGEREF _Toc356162065 \h </w:instrText>
            </w:r>
            <w:r>
              <w:rPr>
                <w:noProof/>
                <w:webHidden/>
              </w:rPr>
            </w:r>
            <w:r>
              <w:rPr>
                <w:noProof/>
                <w:webHidden/>
              </w:rPr>
              <w:fldChar w:fldCharType="separate"/>
            </w:r>
            <w:r w:rsidR="00E73E92">
              <w:rPr>
                <w:noProof/>
                <w:webHidden/>
              </w:rPr>
              <w:t>78</w:t>
            </w:r>
            <w:r>
              <w:rPr>
                <w:noProof/>
                <w:webHidden/>
              </w:rPr>
              <w:fldChar w:fldCharType="end"/>
            </w:r>
          </w:hyperlink>
        </w:p>
        <w:p w:rsidR="00D82823" w:rsidRDefault="001B3246">
          <w:pPr>
            <w:pStyle w:val="11"/>
            <w:tabs>
              <w:tab w:val="right" w:leader="dot" w:pos="9344"/>
            </w:tabs>
            <w:rPr>
              <w:rFonts w:eastAsiaTheme="minorEastAsia"/>
              <w:noProof/>
              <w:lang w:eastAsia="ru-RU"/>
            </w:rPr>
          </w:pPr>
          <w:hyperlink w:anchor="_Toc356162066" w:history="1">
            <w:r w:rsidR="00D82823" w:rsidRPr="00BB1D11">
              <w:rPr>
                <w:rStyle w:val="aa"/>
                <w:noProof/>
              </w:rPr>
              <w:t>Заключение</w:t>
            </w:r>
            <w:r w:rsidR="00D82823">
              <w:rPr>
                <w:noProof/>
                <w:webHidden/>
              </w:rPr>
              <w:tab/>
            </w:r>
            <w:r>
              <w:rPr>
                <w:noProof/>
                <w:webHidden/>
              </w:rPr>
              <w:fldChar w:fldCharType="begin"/>
            </w:r>
            <w:r w:rsidR="00D82823">
              <w:rPr>
                <w:noProof/>
                <w:webHidden/>
              </w:rPr>
              <w:instrText xml:space="preserve"> PAGEREF _Toc356162066 \h </w:instrText>
            </w:r>
            <w:r>
              <w:rPr>
                <w:noProof/>
                <w:webHidden/>
              </w:rPr>
            </w:r>
            <w:r>
              <w:rPr>
                <w:noProof/>
                <w:webHidden/>
              </w:rPr>
              <w:fldChar w:fldCharType="separate"/>
            </w:r>
            <w:r w:rsidR="00E73E92">
              <w:rPr>
                <w:noProof/>
                <w:webHidden/>
              </w:rPr>
              <w:t>82</w:t>
            </w:r>
            <w:r>
              <w:rPr>
                <w:noProof/>
                <w:webHidden/>
              </w:rPr>
              <w:fldChar w:fldCharType="end"/>
            </w:r>
          </w:hyperlink>
        </w:p>
        <w:p w:rsidR="00D82823" w:rsidRDefault="001B3246">
          <w:pPr>
            <w:pStyle w:val="11"/>
            <w:tabs>
              <w:tab w:val="right" w:leader="dot" w:pos="9344"/>
            </w:tabs>
            <w:rPr>
              <w:rFonts w:eastAsiaTheme="minorEastAsia"/>
              <w:noProof/>
              <w:lang w:eastAsia="ru-RU"/>
            </w:rPr>
          </w:pPr>
          <w:hyperlink w:anchor="_Toc356162067" w:history="1">
            <w:r w:rsidR="00D82823" w:rsidRPr="00BB1D11">
              <w:rPr>
                <w:rStyle w:val="aa"/>
                <w:noProof/>
              </w:rPr>
              <w:t>Библиография</w:t>
            </w:r>
            <w:r w:rsidR="00D82823">
              <w:rPr>
                <w:noProof/>
                <w:webHidden/>
              </w:rPr>
              <w:tab/>
            </w:r>
            <w:r>
              <w:rPr>
                <w:noProof/>
                <w:webHidden/>
              </w:rPr>
              <w:fldChar w:fldCharType="begin"/>
            </w:r>
            <w:r w:rsidR="00D82823">
              <w:rPr>
                <w:noProof/>
                <w:webHidden/>
              </w:rPr>
              <w:instrText xml:space="preserve"> PAGEREF _Toc356162067 \h </w:instrText>
            </w:r>
            <w:r>
              <w:rPr>
                <w:noProof/>
                <w:webHidden/>
              </w:rPr>
            </w:r>
            <w:r>
              <w:rPr>
                <w:noProof/>
                <w:webHidden/>
              </w:rPr>
              <w:fldChar w:fldCharType="separate"/>
            </w:r>
            <w:r w:rsidR="00E73E92">
              <w:rPr>
                <w:noProof/>
                <w:webHidden/>
              </w:rPr>
              <w:t>85</w:t>
            </w:r>
            <w:r>
              <w:rPr>
                <w:noProof/>
                <w:webHidden/>
              </w:rPr>
              <w:fldChar w:fldCharType="end"/>
            </w:r>
          </w:hyperlink>
        </w:p>
        <w:p w:rsidR="00D82823" w:rsidRDefault="001B3246">
          <w:pPr>
            <w:pStyle w:val="11"/>
            <w:tabs>
              <w:tab w:val="right" w:leader="dot" w:pos="9344"/>
            </w:tabs>
            <w:rPr>
              <w:rFonts w:eastAsiaTheme="minorEastAsia"/>
              <w:noProof/>
              <w:lang w:eastAsia="ru-RU"/>
            </w:rPr>
          </w:pPr>
          <w:hyperlink w:anchor="_Toc356162068" w:history="1">
            <w:r w:rsidR="00D82823" w:rsidRPr="00BB1D11">
              <w:rPr>
                <w:rStyle w:val="aa"/>
                <w:rFonts w:cs="Times New Roman"/>
                <w:noProof/>
              </w:rPr>
              <w:t>Приложение 1. Сравнительная таблица «Содержание годового отчета эмитента в России и США»</w:t>
            </w:r>
            <w:r w:rsidR="00D82823">
              <w:rPr>
                <w:noProof/>
                <w:webHidden/>
              </w:rPr>
              <w:tab/>
            </w:r>
            <w:r>
              <w:rPr>
                <w:noProof/>
                <w:webHidden/>
              </w:rPr>
              <w:fldChar w:fldCharType="begin"/>
            </w:r>
            <w:r w:rsidR="00D82823">
              <w:rPr>
                <w:noProof/>
                <w:webHidden/>
              </w:rPr>
              <w:instrText xml:space="preserve"> PAGEREF _Toc356162068 \h </w:instrText>
            </w:r>
            <w:r>
              <w:rPr>
                <w:noProof/>
                <w:webHidden/>
              </w:rPr>
            </w:r>
            <w:r>
              <w:rPr>
                <w:noProof/>
                <w:webHidden/>
              </w:rPr>
              <w:fldChar w:fldCharType="separate"/>
            </w:r>
            <w:r w:rsidR="00E73E92">
              <w:rPr>
                <w:noProof/>
                <w:webHidden/>
              </w:rPr>
              <w:t>93</w:t>
            </w:r>
            <w:r>
              <w:rPr>
                <w:noProof/>
                <w:webHidden/>
              </w:rPr>
              <w:fldChar w:fldCharType="end"/>
            </w:r>
          </w:hyperlink>
        </w:p>
        <w:p w:rsidR="00D82823" w:rsidRDefault="001B3246">
          <w:pPr>
            <w:pStyle w:val="11"/>
            <w:tabs>
              <w:tab w:val="right" w:leader="dot" w:pos="9344"/>
            </w:tabs>
            <w:rPr>
              <w:rFonts w:eastAsiaTheme="minorEastAsia"/>
              <w:noProof/>
              <w:lang w:eastAsia="ru-RU"/>
            </w:rPr>
          </w:pPr>
          <w:hyperlink w:anchor="_Toc356162069" w:history="1">
            <w:r w:rsidR="00D82823" w:rsidRPr="00BB1D11">
              <w:rPr>
                <w:rStyle w:val="aa"/>
                <w:rFonts w:cs="Times New Roman"/>
                <w:noProof/>
              </w:rPr>
              <w:t>Приложение 2. Сравнительная таблица «Содержание квартального отчета эмитента в России и США»</w:t>
            </w:r>
            <w:r w:rsidR="00D82823">
              <w:rPr>
                <w:noProof/>
                <w:webHidden/>
              </w:rPr>
              <w:tab/>
            </w:r>
            <w:r>
              <w:rPr>
                <w:noProof/>
                <w:webHidden/>
              </w:rPr>
              <w:fldChar w:fldCharType="begin"/>
            </w:r>
            <w:r w:rsidR="00D82823">
              <w:rPr>
                <w:noProof/>
                <w:webHidden/>
              </w:rPr>
              <w:instrText xml:space="preserve"> PAGEREF _Toc356162069 \h </w:instrText>
            </w:r>
            <w:r>
              <w:rPr>
                <w:noProof/>
                <w:webHidden/>
              </w:rPr>
            </w:r>
            <w:r>
              <w:rPr>
                <w:noProof/>
                <w:webHidden/>
              </w:rPr>
              <w:fldChar w:fldCharType="separate"/>
            </w:r>
            <w:r w:rsidR="00E73E92">
              <w:rPr>
                <w:noProof/>
                <w:webHidden/>
              </w:rPr>
              <w:t>97</w:t>
            </w:r>
            <w:r>
              <w:rPr>
                <w:noProof/>
                <w:webHidden/>
              </w:rPr>
              <w:fldChar w:fldCharType="end"/>
            </w:r>
          </w:hyperlink>
        </w:p>
        <w:p w:rsidR="00D82823" w:rsidRDefault="001B3246">
          <w:pPr>
            <w:pStyle w:val="11"/>
            <w:tabs>
              <w:tab w:val="right" w:leader="dot" w:pos="9344"/>
            </w:tabs>
            <w:rPr>
              <w:rFonts w:eastAsiaTheme="minorEastAsia"/>
              <w:noProof/>
              <w:lang w:eastAsia="ru-RU"/>
            </w:rPr>
          </w:pPr>
          <w:hyperlink w:anchor="_Toc356162070" w:history="1">
            <w:r w:rsidR="00D82823" w:rsidRPr="00BB1D11">
              <w:rPr>
                <w:rStyle w:val="aa"/>
                <w:rFonts w:cs="Times New Roman"/>
                <w:noProof/>
              </w:rPr>
              <w:t>Приложение 3. Сравнительная таблица «Содержание сообщений о существенных фактах и текущего отчета эмитента в России и США»</w:t>
            </w:r>
            <w:r w:rsidR="00D82823">
              <w:rPr>
                <w:noProof/>
                <w:webHidden/>
              </w:rPr>
              <w:tab/>
            </w:r>
            <w:r>
              <w:rPr>
                <w:noProof/>
                <w:webHidden/>
              </w:rPr>
              <w:fldChar w:fldCharType="begin"/>
            </w:r>
            <w:r w:rsidR="00D82823">
              <w:rPr>
                <w:noProof/>
                <w:webHidden/>
              </w:rPr>
              <w:instrText xml:space="preserve"> PAGEREF _Toc356162070 \h </w:instrText>
            </w:r>
            <w:r>
              <w:rPr>
                <w:noProof/>
                <w:webHidden/>
              </w:rPr>
            </w:r>
            <w:r>
              <w:rPr>
                <w:noProof/>
                <w:webHidden/>
              </w:rPr>
              <w:fldChar w:fldCharType="separate"/>
            </w:r>
            <w:r w:rsidR="00E73E92">
              <w:rPr>
                <w:noProof/>
                <w:webHidden/>
              </w:rPr>
              <w:t>105</w:t>
            </w:r>
            <w:r>
              <w:rPr>
                <w:noProof/>
                <w:webHidden/>
              </w:rPr>
              <w:fldChar w:fldCharType="end"/>
            </w:r>
          </w:hyperlink>
        </w:p>
        <w:p w:rsidR="00D82823" w:rsidRDefault="001B3246">
          <w:pPr>
            <w:pStyle w:val="11"/>
            <w:tabs>
              <w:tab w:val="right" w:leader="dot" w:pos="9344"/>
            </w:tabs>
            <w:rPr>
              <w:rFonts w:eastAsiaTheme="minorEastAsia"/>
              <w:noProof/>
              <w:lang w:eastAsia="ru-RU"/>
            </w:rPr>
          </w:pPr>
          <w:hyperlink w:anchor="_Toc356162071" w:history="1">
            <w:r w:rsidR="00D82823" w:rsidRPr="00BB1D11">
              <w:rPr>
                <w:rStyle w:val="aa"/>
                <w:rFonts w:cs="Times New Roman"/>
                <w:noProof/>
              </w:rPr>
              <w:t>Приложение 4.</w:t>
            </w:r>
            <w:r w:rsidR="00D82823">
              <w:rPr>
                <w:noProof/>
                <w:webHidden/>
              </w:rPr>
              <w:tab/>
            </w:r>
            <w:r>
              <w:rPr>
                <w:noProof/>
                <w:webHidden/>
              </w:rPr>
              <w:fldChar w:fldCharType="begin"/>
            </w:r>
            <w:r w:rsidR="00D82823">
              <w:rPr>
                <w:noProof/>
                <w:webHidden/>
              </w:rPr>
              <w:instrText xml:space="preserve"> PAGEREF _Toc356162071 \h </w:instrText>
            </w:r>
            <w:r>
              <w:rPr>
                <w:noProof/>
                <w:webHidden/>
              </w:rPr>
            </w:r>
            <w:r>
              <w:rPr>
                <w:noProof/>
                <w:webHidden/>
              </w:rPr>
              <w:fldChar w:fldCharType="separate"/>
            </w:r>
            <w:r w:rsidR="00E73E92">
              <w:rPr>
                <w:noProof/>
                <w:webHidden/>
              </w:rPr>
              <w:t>114</w:t>
            </w:r>
            <w:r>
              <w:rPr>
                <w:noProof/>
                <w:webHidden/>
              </w:rPr>
              <w:fldChar w:fldCharType="end"/>
            </w:r>
          </w:hyperlink>
        </w:p>
        <w:p w:rsidR="00D82823" w:rsidRDefault="001B3246">
          <w:pPr>
            <w:pStyle w:val="23"/>
            <w:rPr>
              <w:rFonts w:eastAsiaTheme="minorEastAsia"/>
              <w:noProof/>
              <w:lang w:eastAsia="ru-RU"/>
            </w:rPr>
          </w:pPr>
          <w:hyperlink w:anchor="_Toc356162072" w:history="1">
            <w:r w:rsidR="00D82823" w:rsidRPr="00BB1D11">
              <w:rPr>
                <w:rStyle w:val="aa"/>
                <w:rFonts w:cs="Times New Roman"/>
                <w:noProof/>
              </w:rPr>
              <w:t>А) Пример сообщения о существенном факте</w:t>
            </w:r>
            <w:r w:rsidR="00D82823">
              <w:rPr>
                <w:noProof/>
                <w:webHidden/>
              </w:rPr>
              <w:tab/>
            </w:r>
            <w:r>
              <w:rPr>
                <w:noProof/>
                <w:webHidden/>
              </w:rPr>
              <w:fldChar w:fldCharType="begin"/>
            </w:r>
            <w:r w:rsidR="00D82823">
              <w:rPr>
                <w:noProof/>
                <w:webHidden/>
              </w:rPr>
              <w:instrText xml:space="preserve"> PAGEREF _Toc356162072 \h </w:instrText>
            </w:r>
            <w:r>
              <w:rPr>
                <w:noProof/>
                <w:webHidden/>
              </w:rPr>
            </w:r>
            <w:r>
              <w:rPr>
                <w:noProof/>
                <w:webHidden/>
              </w:rPr>
              <w:fldChar w:fldCharType="separate"/>
            </w:r>
            <w:r w:rsidR="00E73E92">
              <w:rPr>
                <w:noProof/>
                <w:webHidden/>
              </w:rPr>
              <w:t>114</w:t>
            </w:r>
            <w:r>
              <w:rPr>
                <w:noProof/>
                <w:webHidden/>
              </w:rPr>
              <w:fldChar w:fldCharType="end"/>
            </w:r>
          </w:hyperlink>
        </w:p>
        <w:p w:rsidR="00D82823" w:rsidRDefault="001B3246">
          <w:pPr>
            <w:pStyle w:val="23"/>
            <w:rPr>
              <w:rFonts w:eastAsiaTheme="minorEastAsia"/>
              <w:noProof/>
              <w:lang w:eastAsia="ru-RU"/>
            </w:rPr>
          </w:pPr>
          <w:hyperlink w:anchor="_Toc356162073" w:history="1">
            <w:r w:rsidR="00D82823" w:rsidRPr="00BB1D11">
              <w:rPr>
                <w:rStyle w:val="aa"/>
                <w:rFonts w:cs="Times New Roman"/>
                <w:noProof/>
              </w:rPr>
              <w:t>Б) Пример текущего отчета эмитента</w:t>
            </w:r>
            <w:r w:rsidR="00D82823">
              <w:rPr>
                <w:noProof/>
                <w:webHidden/>
              </w:rPr>
              <w:tab/>
            </w:r>
            <w:r>
              <w:rPr>
                <w:noProof/>
                <w:webHidden/>
              </w:rPr>
              <w:fldChar w:fldCharType="begin"/>
            </w:r>
            <w:r w:rsidR="00D82823">
              <w:rPr>
                <w:noProof/>
                <w:webHidden/>
              </w:rPr>
              <w:instrText xml:space="preserve"> PAGEREF _Toc356162073 \h </w:instrText>
            </w:r>
            <w:r>
              <w:rPr>
                <w:noProof/>
                <w:webHidden/>
              </w:rPr>
            </w:r>
            <w:r>
              <w:rPr>
                <w:noProof/>
                <w:webHidden/>
              </w:rPr>
              <w:fldChar w:fldCharType="separate"/>
            </w:r>
            <w:r w:rsidR="00E73E92">
              <w:rPr>
                <w:noProof/>
                <w:webHidden/>
              </w:rPr>
              <w:t>115</w:t>
            </w:r>
            <w:r>
              <w:rPr>
                <w:noProof/>
                <w:webHidden/>
              </w:rPr>
              <w:fldChar w:fldCharType="end"/>
            </w:r>
          </w:hyperlink>
        </w:p>
        <w:p w:rsidR="008C1262" w:rsidRPr="000160C5" w:rsidRDefault="001B3246">
          <w:pPr>
            <w:rPr>
              <w:rFonts w:ascii="Times New Roman" w:hAnsi="Times New Roman" w:cs="Times New Roman"/>
            </w:rPr>
          </w:pPr>
          <w:r w:rsidRPr="000160C5">
            <w:rPr>
              <w:rFonts w:ascii="Times New Roman" w:hAnsi="Times New Roman" w:cs="Times New Roman"/>
              <w:b/>
              <w:bCs/>
            </w:rPr>
            <w:fldChar w:fldCharType="end"/>
          </w:r>
        </w:p>
      </w:sdtContent>
    </w:sdt>
    <w:p w:rsidR="008C1262" w:rsidRPr="000160C5" w:rsidRDefault="008C1262">
      <w:pPr>
        <w:rPr>
          <w:rFonts w:ascii="Times New Roman" w:eastAsiaTheme="majorEastAsia" w:hAnsi="Times New Roman" w:cs="Times New Roman"/>
          <w:b/>
          <w:bCs/>
          <w:caps/>
          <w:sz w:val="28"/>
          <w:szCs w:val="28"/>
        </w:rPr>
      </w:pPr>
      <w:r w:rsidRPr="000160C5">
        <w:rPr>
          <w:rFonts w:ascii="Times New Roman" w:hAnsi="Times New Roman" w:cs="Times New Roman"/>
        </w:rPr>
        <w:br w:type="page"/>
      </w:r>
    </w:p>
    <w:p w:rsidR="000160C5" w:rsidRDefault="00787151" w:rsidP="008C1262">
      <w:pPr>
        <w:pStyle w:val="1"/>
        <w:keepLines w:val="0"/>
        <w:widowControl w:val="0"/>
        <w:spacing w:before="0" w:line="360" w:lineRule="auto"/>
        <w:ind w:firstLine="709"/>
        <w:contextualSpacing/>
        <w:rPr>
          <w:rFonts w:cs="Times New Roman"/>
        </w:rPr>
      </w:pPr>
      <w:bookmarkStart w:id="1" w:name="_Toc356162041"/>
      <w:r>
        <w:rPr>
          <w:rFonts w:cs="Times New Roman"/>
        </w:rPr>
        <w:lastRenderedPageBreak/>
        <w:t>Введение</w:t>
      </w:r>
      <w:bookmarkEnd w:id="1"/>
    </w:p>
    <w:p w:rsidR="00BE205F" w:rsidRPr="009739B4" w:rsidRDefault="00BE205F" w:rsidP="00BE205F">
      <w:pPr>
        <w:spacing w:after="0" w:line="360" w:lineRule="auto"/>
        <w:ind w:firstLine="709"/>
        <w:jc w:val="both"/>
        <w:rPr>
          <w:rFonts w:ascii="Times New Roman" w:hAnsi="Times New Roman" w:cs="Times New Roman"/>
          <w:sz w:val="28"/>
          <w:szCs w:val="28"/>
        </w:rPr>
      </w:pPr>
      <w:r w:rsidRPr="009739B4">
        <w:rPr>
          <w:rFonts w:ascii="Times New Roman" w:hAnsi="Times New Roman" w:cs="Times New Roman"/>
          <w:sz w:val="28"/>
          <w:szCs w:val="28"/>
        </w:rPr>
        <w:t xml:space="preserve">Неотъемлемой частью развитой рыночной экономики является эффективно функционирующий рынок ценных бумаг. Сложно представить современные рыночные отношения без оборота ценных бумаг, </w:t>
      </w:r>
      <w:r>
        <w:rPr>
          <w:rFonts w:ascii="Times New Roman" w:hAnsi="Times New Roman" w:cs="Times New Roman"/>
          <w:sz w:val="28"/>
          <w:szCs w:val="28"/>
        </w:rPr>
        <w:t xml:space="preserve">которые в отличие от реального товара являются лишь </w:t>
      </w:r>
      <w:proofErr w:type="spellStart"/>
      <w:r>
        <w:rPr>
          <w:rFonts w:ascii="Times New Roman" w:hAnsi="Times New Roman" w:cs="Times New Roman"/>
          <w:sz w:val="28"/>
          <w:szCs w:val="28"/>
        </w:rPr>
        <w:t>правоудостоверяющими</w:t>
      </w:r>
      <w:proofErr w:type="spellEnd"/>
      <w:r>
        <w:rPr>
          <w:rFonts w:ascii="Times New Roman" w:hAnsi="Times New Roman" w:cs="Times New Roman"/>
          <w:sz w:val="28"/>
          <w:szCs w:val="28"/>
        </w:rPr>
        <w:t xml:space="preserve"> документами, подтверждающими </w:t>
      </w:r>
      <w:r w:rsidRPr="009739B4">
        <w:rPr>
          <w:rFonts w:ascii="Times New Roman" w:hAnsi="Times New Roman" w:cs="Times New Roman"/>
          <w:sz w:val="28"/>
          <w:szCs w:val="28"/>
        </w:rPr>
        <w:t xml:space="preserve">обязательственные права их держателей </w:t>
      </w:r>
      <w:r>
        <w:rPr>
          <w:rFonts w:ascii="Times New Roman" w:hAnsi="Times New Roman" w:cs="Times New Roman"/>
          <w:sz w:val="28"/>
          <w:szCs w:val="28"/>
        </w:rPr>
        <w:t>в отношении</w:t>
      </w:r>
      <w:r w:rsidRPr="009739B4">
        <w:rPr>
          <w:rFonts w:ascii="Times New Roman" w:hAnsi="Times New Roman" w:cs="Times New Roman"/>
          <w:sz w:val="28"/>
          <w:szCs w:val="28"/>
        </w:rPr>
        <w:t xml:space="preserve"> </w:t>
      </w:r>
      <w:r>
        <w:rPr>
          <w:rFonts w:ascii="Times New Roman" w:hAnsi="Times New Roman" w:cs="Times New Roman"/>
          <w:sz w:val="28"/>
          <w:szCs w:val="28"/>
        </w:rPr>
        <w:t>эмитента</w:t>
      </w:r>
      <w:r w:rsidRPr="009739B4">
        <w:rPr>
          <w:rFonts w:ascii="Times New Roman" w:hAnsi="Times New Roman" w:cs="Times New Roman"/>
          <w:sz w:val="28"/>
          <w:szCs w:val="28"/>
        </w:rPr>
        <w:t xml:space="preserve">.  Учитывая характер отношений, складывающихся между инвестором и эмитентом, заключающихся </w:t>
      </w:r>
      <w:r>
        <w:rPr>
          <w:rFonts w:ascii="Times New Roman" w:hAnsi="Times New Roman" w:cs="Times New Roman"/>
          <w:sz w:val="28"/>
          <w:szCs w:val="28"/>
        </w:rPr>
        <w:t xml:space="preserve">в привлечении эмитентом </w:t>
      </w:r>
      <w:r w:rsidRPr="009739B4">
        <w:rPr>
          <w:rFonts w:ascii="Times New Roman" w:hAnsi="Times New Roman" w:cs="Times New Roman"/>
          <w:sz w:val="28"/>
          <w:szCs w:val="28"/>
        </w:rPr>
        <w:t>капитал</w:t>
      </w:r>
      <w:r>
        <w:rPr>
          <w:rFonts w:ascii="Times New Roman" w:hAnsi="Times New Roman" w:cs="Times New Roman"/>
          <w:sz w:val="28"/>
          <w:szCs w:val="28"/>
        </w:rPr>
        <w:t>а</w:t>
      </w:r>
      <w:r w:rsidRPr="009739B4">
        <w:rPr>
          <w:rFonts w:ascii="Times New Roman" w:hAnsi="Times New Roman" w:cs="Times New Roman"/>
          <w:sz w:val="28"/>
          <w:szCs w:val="28"/>
        </w:rPr>
        <w:t xml:space="preserve"> инвестора</w:t>
      </w:r>
      <w:r>
        <w:rPr>
          <w:rFonts w:ascii="Times New Roman" w:hAnsi="Times New Roman" w:cs="Times New Roman"/>
          <w:sz w:val="28"/>
          <w:szCs w:val="28"/>
        </w:rPr>
        <w:t xml:space="preserve"> </w:t>
      </w:r>
      <w:r w:rsidRPr="009739B4">
        <w:rPr>
          <w:rFonts w:ascii="Times New Roman" w:hAnsi="Times New Roman" w:cs="Times New Roman"/>
          <w:sz w:val="28"/>
          <w:szCs w:val="28"/>
        </w:rPr>
        <w:t xml:space="preserve">за счет выпущенных ценных бумаг, важным элементом в таких отношениях является полная информационная прозрачность </w:t>
      </w:r>
      <w:r>
        <w:rPr>
          <w:rFonts w:ascii="Times New Roman" w:hAnsi="Times New Roman" w:cs="Times New Roman"/>
          <w:sz w:val="28"/>
          <w:szCs w:val="28"/>
        </w:rPr>
        <w:t xml:space="preserve">функционирования </w:t>
      </w:r>
      <w:r w:rsidRPr="009739B4">
        <w:rPr>
          <w:rFonts w:ascii="Times New Roman" w:hAnsi="Times New Roman" w:cs="Times New Roman"/>
          <w:sz w:val="28"/>
          <w:szCs w:val="28"/>
        </w:rPr>
        <w:t xml:space="preserve">рынка ценных бумаг. </w:t>
      </w:r>
      <w:r>
        <w:rPr>
          <w:rFonts w:ascii="Times New Roman" w:hAnsi="Times New Roman" w:cs="Times New Roman"/>
          <w:sz w:val="28"/>
          <w:szCs w:val="28"/>
        </w:rPr>
        <w:t>В</w:t>
      </w:r>
      <w:r w:rsidRPr="009739B4">
        <w:rPr>
          <w:rFonts w:ascii="Times New Roman" w:hAnsi="Times New Roman" w:cs="Times New Roman"/>
          <w:sz w:val="28"/>
          <w:szCs w:val="28"/>
        </w:rPr>
        <w:t xml:space="preserve"> отношениях с  эмитентом</w:t>
      </w:r>
      <w:r>
        <w:rPr>
          <w:rFonts w:ascii="Times New Roman" w:hAnsi="Times New Roman" w:cs="Times New Roman"/>
          <w:sz w:val="28"/>
          <w:szCs w:val="28"/>
        </w:rPr>
        <w:t xml:space="preserve"> и</w:t>
      </w:r>
      <w:r w:rsidRPr="009739B4">
        <w:rPr>
          <w:rFonts w:ascii="Times New Roman" w:hAnsi="Times New Roman" w:cs="Times New Roman"/>
          <w:sz w:val="28"/>
          <w:szCs w:val="28"/>
        </w:rPr>
        <w:t xml:space="preserve">нвестор является слабой стороной, в </w:t>
      </w:r>
      <w:proofErr w:type="gramStart"/>
      <w:r w:rsidRPr="009739B4">
        <w:rPr>
          <w:rFonts w:ascii="Times New Roman" w:hAnsi="Times New Roman" w:cs="Times New Roman"/>
          <w:sz w:val="28"/>
          <w:szCs w:val="28"/>
        </w:rPr>
        <w:t>связи</w:t>
      </w:r>
      <w:proofErr w:type="gramEnd"/>
      <w:r w:rsidRPr="009739B4">
        <w:rPr>
          <w:rFonts w:ascii="Times New Roman" w:hAnsi="Times New Roman" w:cs="Times New Roman"/>
          <w:sz w:val="28"/>
          <w:szCs w:val="28"/>
        </w:rPr>
        <w:t xml:space="preserve"> с чем </w:t>
      </w:r>
      <w:r>
        <w:rPr>
          <w:rFonts w:ascii="Times New Roman" w:hAnsi="Times New Roman" w:cs="Times New Roman"/>
          <w:sz w:val="28"/>
          <w:szCs w:val="28"/>
        </w:rPr>
        <w:t>он</w:t>
      </w:r>
      <w:r w:rsidRPr="009739B4">
        <w:rPr>
          <w:rFonts w:ascii="Times New Roman" w:hAnsi="Times New Roman" w:cs="Times New Roman"/>
          <w:sz w:val="28"/>
          <w:szCs w:val="28"/>
        </w:rPr>
        <w:t xml:space="preserve"> нуждается в защите своих финансовых и иных корпоративных интересов. </w:t>
      </w:r>
    </w:p>
    <w:p w:rsidR="00BE205F" w:rsidRDefault="00BE205F" w:rsidP="00BE20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п</w:t>
      </w:r>
      <w:r w:rsidRPr="009739B4">
        <w:rPr>
          <w:rFonts w:ascii="Times New Roman" w:hAnsi="Times New Roman" w:cs="Times New Roman"/>
          <w:sz w:val="28"/>
          <w:szCs w:val="28"/>
        </w:rPr>
        <w:t xml:space="preserve">омимо общего права инвестора на получение от эмитента дохода в том или ином виде, </w:t>
      </w:r>
      <w:r>
        <w:rPr>
          <w:rFonts w:ascii="Times New Roman" w:hAnsi="Times New Roman" w:cs="Times New Roman"/>
          <w:sz w:val="28"/>
          <w:szCs w:val="28"/>
        </w:rPr>
        <w:t xml:space="preserve">еще одним </w:t>
      </w:r>
      <w:r w:rsidRPr="009739B4">
        <w:rPr>
          <w:rFonts w:ascii="Times New Roman" w:hAnsi="Times New Roman" w:cs="Times New Roman"/>
          <w:sz w:val="28"/>
          <w:szCs w:val="28"/>
        </w:rPr>
        <w:t>важным правом</w:t>
      </w:r>
      <w:r>
        <w:rPr>
          <w:rFonts w:ascii="Times New Roman" w:hAnsi="Times New Roman" w:cs="Times New Roman"/>
          <w:sz w:val="28"/>
          <w:szCs w:val="28"/>
        </w:rPr>
        <w:t xml:space="preserve">, вытекающим </w:t>
      </w:r>
      <w:r w:rsidRPr="009739B4">
        <w:rPr>
          <w:rFonts w:ascii="Times New Roman" w:hAnsi="Times New Roman" w:cs="Times New Roman"/>
          <w:sz w:val="28"/>
          <w:szCs w:val="28"/>
        </w:rPr>
        <w:t>из ценной бумаги</w:t>
      </w:r>
      <w:r>
        <w:rPr>
          <w:rFonts w:ascii="Times New Roman" w:hAnsi="Times New Roman" w:cs="Times New Roman"/>
          <w:sz w:val="28"/>
          <w:szCs w:val="28"/>
        </w:rPr>
        <w:t>,</w:t>
      </w:r>
      <w:r w:rsidRPr="009739B4">
        <w:rPr>
          <w:rFonts w:ascii="Times New Roman" w:hAnsi="Times New Roman" w:cs="Times New Roman"/>
          <w:sz w:val="28"/>
          <w:szCs w:val="28"/>
        </w:rPr>
        <w:t xml:space="preserve"> является право инвестора на информацию. Для того чтобы  указанное право инвестора реализовывалось в полной мере, необходимы соответствующие механизмы, обеспечивающие данное право. Одним из таких механизмов является государственное регулирование рынка ценных бумаг, необходимость которого практически подтверждена опытом большинства развитых стран</w:t>
      </w:r>
      <w:r>
        <w:rPr>
          <w:rStyle w:val="a9"/>
          <w:rFonts w:ascii="Times New Roman" w:hAnsi="Times New Roman" w:cs="Times New Roman"/>
          <w:sz w:val="28"/>
          <w:szCs w:val="28"/>
        </w:rPr>
        <w:footnoteReference w:id="1"/>
      </w:r>
      <w:r w:rsidRPr="009739B4">
        <w:rPr>
          <w:rFonts w:ascii="Times New Roman" w:hAnsi="Times New Roman" w:cs="Times New Roman"/>
          <w:sz w:val="28"/>
          <w:szCs w:val="28"/>
        </w:rPr>
        <w:t xml:space="preserve">. Несмотря на частноправовую природу отношений эмитента и инвестора, избежать публичного государственного регулирования данной сферы практически невозможно ввиду существующей диспропорции </w:t>
      </w:r>
      <w:r>
        <w:rPr>
          <w:rFonts w:ascii="Times New Roman" w:hAnsi="Times New Roman" w:cs="Times New Roman"/>
          <w:sz w:val="28"/>
          <w:szCs w:val="28"/>
        </w:rPr>
        <w:t xml:space="preserve">интересов </w:t>
      </w:r>
      <w:r w:rsidRPr="009739B4">
        <w:rPr>
          <w:rFonts w:ascii="Times New Roman" w:hAnsi="Times New Roman" w:cs="Times New Roman"/>
          <w:sz w:val="28"/>
          <w:szCs w:val="28"/>
        </w:rPr>
        <w:t xml:space="preserve">между эмитентом и инвестором.   </w:t>
      </w:r>
    </w:p>
    <w:p w:rsidR="00BE205F" w:rsidRDefault="00BE205F" w:rsidP="00BE20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каждое государство уникально в избранной им модели регулирования рынка ценных бумаг. Например, рынок ценных бумаг Соединенных штатов Америки, сложился достаточно давно, а потому американский опыт представляется наиболее интересным с точки зрения </w:t>
      </w:r>
      <w:r>
        <w:rPr>
          <w:rFonts w:ascii="Times New Roman" w:hAnsi="Times New Roman" w:cs="Times New Roman"/>
          <w:sz w:val="28"/>
          <w:szCs w:val="28"/>
        </w:rPr>
        <w:lastRenderedPageBreak/>
        <w:t xml:space="preserve">изучения. Российский рынок ценных бумаг находится в стадии формирования, что вызвано историческими предпосылками и достаточно молодой рыночной экономикой постсоветской России. </w:t>
      </w:r>
    </w:p>
    <w:p w:rsidR="00BE205F" w:rsidRDefault="00BE205F" w:rsidP="00BE20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государственного регулирования всегда тесно связан с вопросом государственного принуждения, то есть применения мер ответственности в случае нарушения нормативно установленной обязанности лица.  В рамках настоящей работы будет исследован вопрос ответственности эмитентов за нарушение требований по раскрытию информации на рынке ценных бумаг в России и США. </w:t>
      </w:r>
    </w:p>
    <w:p w:rsidR="00BE205F" w:rsidRDefault="00BE205F" w:rsidP="00BE20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темы обусловлена, прежде всего, неэффективной, на взгляд автора, реализацией концепции ответственности эмитента за нарушение требований по раскрытию информации в России. Неэффективность реализованной концепции выражается в низком уровне информационной прозрачности рынка ценных бумаг и высоким уровнем правонарушений в рассматриваемой сфере. Указанная неэффективность особенно очевидна в сравнении с американской моделью ответственности эмитента. </w:t>
      </w:r>
      <w:proofErr w:type="gramStart"/>
      <w:r>
        <w:rPr>
          <w:rFonts w:ascii="Times New Roman" w:hAnsi="Times New Roman" w:cs="Times New Roman"/>
          <w:sz w:val="28"/>
          <w:szCs w:val="28"/>
        </w:rPr>
        <w:t>Учитывая, что российский рынок ценных бумаг находится в стадии формирования и является достаточно молодым (начало формирования приходится на середину 1990-х годов) относительно уже сложившегося американского рынка ценных бумаг (американское законодательство в этой сфере ведет свой отсчет с 1930-х годов), автору настоящей работы сравнительный анализ ответственности эмитента в России и США представляется наиболее удачной формой сопоставления существующей в России модели нормативного</w:t>
      </w:r>
      <w:proofErr w:type="gramEnd"/>
      <w:r>
        <w:rPr>
          <w:rFonts w:ascii="Times New Roman" w:hAnsi="Times New Roman" w:cs="Times New Roman"/>
          <w:sz w:val="28"/>
          <w:szCs w:val="28"/>
        </w:rPr>
        <w:t xml:space="preserve"> регулирования раскрытия эмитентами информации  с моделью, реализованной в США.   </w:t>
      </w:r>
    </w:p>
    <w:p w:rsidR="00BE205F" w:rsidRDefault="00BE205F" w:rsidP="00BE20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настоящей работы является сравнение института ответственности за нарушение эмитентами требований по раскрытию информации в России и США, а также выявление общих и различных черт в нормативном регулировании и практическом применении соответствующего </w:t>
      </w:r>
      <w:r>
        <w:rPr>
          <w:rFonts w:ascii="Times New Roman" w:hAnsi="Times New Roman" w:cs="Times New Roman"/>
          <w:sz w:val="28"/>
          <w:szCs w:val="28"/>
        </w:rPr>
        <w:lastRenderedPageBreak/>
        <w:t xml:space="preserve">законодательства для обоснования эффективности той или иной реализованной модели. </w:t>
      </w:r>
    </w:p>
    <w:p w:rsidR="00BE205F" w:rsidRDefault="00BE205F" w:rsidP="00BE205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целей настоящего исследования будет дана общая характеристика государственного регулирования раскрытия информации на рынке ценных бумаг в исследуемых странах: значение раскрытия информации, случаи обязательного раскрытия информации, нормативное регулирование обозначенной сферы правоотношений, уполномоченные органы – регуляторы на рынке ценных бумаг, формы раскрытия информации через определение содержания раскрываемой информации, случаи освобождения от раскрытия эмитентами информации и пр. </w:t>
      </w:r>
      <w:proofErr w:type="gramEnd"/>
    </w:p>
    <w:p w:rsidR="00BE205F" w:rsidRDefault="00BE205F" w:rsidP="00BE20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будет подробно рассмотрен вопрос правовых последствий для эмитента, нарушившего установленные требования, выражающиеся в применении мер административной, уголовной и гражданско-правовой ответственности. </w:t>
      </w:r>
      <w:r>
        <w:rPr>
          <w:rFonts w:ascii="Times New Roman" w:hAnsi="Times New Roman" w:cs="Times New Roman"/>
          <w:sz w:val="28"/>
          <w:szCs w:val="28"/>
        </w:rPr>
        <w:tab/>
        <w:t xml:space="preserve"> </w:t>
      </w:r>
    </w:p>
    <w:p w:rsidR="00BE205F" w:rsidRDefault="00BE205F" w:rsidP="00BE20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сравнительный характер работы, основным методом настоящего исследования является сравнение российского и американского законодательства, а также практики их применения. Кроме того, немаловажным является анализ сложившейся практики на основе комментариев и статей ученых и практикующих юристов в соответствующей области.</w:t>
      </w:r>
    </w:p>
    <w:p w:rsidR="00BE205F" w:rsidRDefault="00BE205F" w:rsidP="00BE20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основными источниками настоящего исследования являются нормативные правовые акты, судебная и административная практика, научные статьи, электронные ресурсы, и в меньшей мере – монографии и учебная литература.</w:t>
      </w:r>
    </w:p>
    <w:p w:rsidR="000160C5" w:rsidRPr="000160C5" w:rsidRDefault="00BE205F" w:rsidP="00BE205F">
      <w:pPr>
        <w:spacing w:after="0" w:line="360" w:lineRule="auto"/>
        <w:ind w:firstLine="709"/>
        <w:jc w:val="both"/>
      </w:pPr>
      <w:r>
        <w:rPr>
          <w:rFonts w:ascii="Times New Roman" w:hAnsi="Times New Roman" w:cs="Times New Roman"/>
          <w:sz w:val="28"/>
          <w:szCs w:val="28"/>
        </w:rPr>
        <w:t xml:space="preserve">Структура настоящей работы обусловлена предметом и целью исследования. Работа состоит из введения, основной части и заключения. Основная часть подразумевает ее деление на три главы, в которых будут освещены вопросы значения раскрытия информации, объема раскрываемой информации, а также правовых последствий за нарушение установленных </w:t>
      </w:r>
      <w:r>
        <w:rPr>
          <w:rFonts w:ascii="Times New Roman" w:hAnsi="Times New Roman" w:cs="Times New Roman"/>
          <w:sz w:val="28"/>
          <w:szCs w:val="28"/>
        </w:rPr>
        <w:lastRenderedPageBreak/>
        <w:t xml:space="preserve">требований. В заключении будут даны основные выводы по итогам настоящего исследования. </w:t>
      </w:r>
    </w:p>
    <w:p w:rsidR="000160C5" w:rsidRDefault="000160C5">
      <w:pPr>
        <w:rPr>
          <w:rFonts w:ascii="Times New Roman" w:eastAsiaTheme="majorEastAsia" w:hAnsi="Times New Roman" w:cs="Times New Roman"/>
          <w:b/>
          <w:bCs/>
          <w:caps/>
          <w:sz w:val="28"/>
          <w:szCs w:val="28"/>
        </w:rPr>
      </w:pPr>
      <w:r>
        <w:rPr>
          <w:rFonts w:cs="Times New Roman"/>
        </w:rPr>
        <w:br w:type="page"/>
      </w:r>
    </w:p>
    <w:p w:rsidR="002056F7" w:rsidRPr="000160C5" w:rsidRDefault="008218F5" w:rsidP="008C1262">
      <w:pPr>
        <w:pStyle w:val="1"/>
        <w:keepLines w:val="0"/>
        <w:widowControl w:val="0"/>
        <w:spacing w:before="0" w:line="360" w:lineRule="auto"/>
        <w:ind w:firstLine="709"/>
        <w:contextualSpacing/>
        <w:rPr>
          <w:rFonts w:cs="Times New Roman"/>
        </w:rPr>
      </w:pPr>
      <w:bookmarkStart w:id="2" w:name="_Toc356162042"/>
      <w:r w:rsidRPr="000160C5">
        <w:rPr>
          <w:rFonts w:cs="Times New Roman"/>
        </w:rPr>
        <w:lastRenderedPageBreak/>
        <w:t xml:space="preserve">Глава </w:t>
      </w:r>
      <w:r w:rsidRPr="000160C5">
        <w:rPr>
          <w:rFonts w:cs="Times New Roman"/>
          <w:lang w:val="en-US"/>
        </w:rPr>
        <w:t>I</w:t>
      </w:r>
      <w:r w:rsidRPr="000160C5">
        <w:rPr>
          <w:rFonts w:cs="Times New Roman"/>
        </w:rPr>
        <w:t xml:space="preserve">. </w:t>
      </w:r>
      <w:r w:rsidR="002056F7" w:rsidRPr="000160C5">
        <w:rPr>
          <w:rFonts w:cs="Times New Roman"/>
        </w:rPr>
        <w:t>Значение раскрытия информации эмитентами на рынке ценных бумаг</w:t>
      </w:r>
      <w:bookmarkEnd w:id="2"/>
    </w:p>
    <w:p w:rsidR="00AA3EB4" w:rsidRPr="000160C5" w:rsidRDefault="008218F5" w:rsidP="008C1262">
      <w:pPr>
        <w:pStyle w:val="2"/>
        <w:keepLines w:val="0"/>
        <w:widowControl w:val="0"/>
        <w:spacing w:before="0" w:line="360" w:lineRule="auto"/>
        <w:ind w:firstLine="709"/>
        <w:contextualSpacing/>
        <w:rPr>
          <w:rFonts w:cs="Times New Roman"/>
          <w:szCs w:val="28"/>
        </w:rPr>
      </w:pPr>
      <w:bookmarkStart w:id="3" w:name="_Toc356162043"/>
      <w:r w:rsidRPr="000160C5">
        <w:rPr>
          <w:rFonts w:cs="Times New Roman"/>
          <w:szCs w:val="28"/>
        </w:rPr>
        <w:t>§</w:t>
      </w:r>
      <w:r w:rsidR="00CD1C95" w:rsidRPr="000160C5">
        <w:rPr>
          <w:rFonts w:cs="Times New Roman"/>
          <w:szCs w:val="28"/>
        </w:rPr>
        <w:t xml:space="preserve">1. </w:t>
      </w:r>
      <w:r w:rsidR="00AA3EB4" w:rsidRPr="000160C5">
        <w:rPr>
          <w:rFonts w:cs="Times New Roman"/>
          <w:szCs w:val="28"/>
        </w:rPr>
        <w:t xml:space="preserve">Понятие </w:t>
      </w:r>
      <w:r w:rsidR="003B39F6" w:rsidRPr="000160C5">
        <w:rPr>
          <w:rFonts w:cs="Times New Roman"/>
          <w:szCs w:val="28"/>
        </w:rPr>
        <w:t xml:space="preserve">и необходимость </w:t>
      </w:r>
      <w:r w:rsidR="00AA3EB4" w:rsidRPr="000160C5">
        <w:rPr>
          <w:rFonts w:cs="Times New Roman"/>
          <w:szCs w:val="28"/>
        </w:rPr>
        <w:t>раскрытия информации</w:t>
      </w:r>
      <w:r w:rsidR="003B39F6" w:rsidRPr="000160C5">
        <w:rPr>
          <w:rFonts w:cs="Times New Roman"/>
          <w:szCs w:val="28"/>
        </w:rPr>
        <w:t>. П</w:t>
      </w:r>
      <w:r w:rsidR="00AA3EB4" w:rsidRPr="000160C5">
        <w:rPr>
          <w:rFonts w:cs="Times New Roman"/>
          <w:szCs w:val="28"/>
        </w:rPr>
        <w:t>ринцип информационной прозрачности</w:t>
      </w:r>
      <w:bookmarkEnd w:id="3"/>
    </w:p>
    <w:p w:rsidR="008C1262" w:rsidRPr="000160C5" w:rsidRDefault="00530E6C"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Информационная </w:t>
      </w:r>
      <w:r w:rsidR="004F1017" w:rsidRPr="000160C5">
        <w:rPr>
          <w:rFonts w:ascii="Times New Roman" w:hAnsi="Times New Roman" w:cs="Times New Roman"/>
          <w:sz w:val="28"/>
          <w:szCs w:val="28"/>
        </w:rPr>
        <w:t>прозрачность</w:t>
      </w:r>
      <w:r w:rsidRPr="000160C5">
        <w:rPr>
          <w:rFonts w:ascii="Times New Roman" w:hAnsi="Times New Roman" w:cs="Times New Roman"/>
          <w:sz w:val="28"/>
          <w:szCs w:val="28"/>
        </w:rPr>
        <w:t xml:space="preserve"> рынка ценных бумаг одновременно служит нескольким целям. Во-первых,  способствует повышению эффективности работы регуляторов финансового рынка, то есть уполномоченных государственных органов, в компетенцию которых входит управление в сфере обращения ценных бумаг, например</w:t>
      </w:r>
      <w:r w:rsidR="003B39F6" w:rsidRPr="000160C5">
        <w:rPr>
          <w:rFonts w:ascii="Times New Roman" w:hAnsi="Times New Roman" w:cs="Times New Roman"/>
          <w:sz w:val="28"/>
          <w:szCs w:val="28"/>
        </w:rPr>
        <w:t>,</w:t>
      </w:r>
      <w:r w:rsidRPr="000160C5">
        <w:rPr>
          <w:rFonts w:ascii="Times New Roman" w:hAnsi="Times New Roman" w:cs="Times New Roman"/>
          <w:sz w:val="28"/>
          <w:szCs w:val="28"/>
        </w:rPr>
        <w:t xml:space="preserve"> в России этим регулятором выступает Федеральная служба по финансовым рынкам (далее – ФСФР). </w:t>
      </w:r>
    </w:p>
    <w:p w:rsidR="00530E6C" w:rsidRPr="000160C5" w:rsidRDefault="00530E6C"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Во-вторых, доступность информации о состоянии рынка ценных бумаг позволяет его участникам адекватно оценивать текущую ситуацию на финансовом рынке, основываясь на достоверных показателях, а не на своих предположениях.</w:t>
      </w:r>
      <w:r w:rsidR="003B3964" w:rsidRPr="000160C5">
        <w:rPr>
          <w:rFonts w:ascii="Times New Roman" w:hAnsi="Times New Roman" w:cs="Times New Roman"/>
          <w:sz w:val="28"/>
          <w:szCs w:val="28"/>
        </w:rPr>
        <w:t xml:space="preserve"> Под участниками рынка ценных бумаг понимаются, прежде всего, инвесторы, а также профессиональные участники рынка ценных бумаг, сами эмитенты и уже упомянутые регуляторы. Принимая во внимание, что инвестор является более незащищенной стороной, очевидна значимость информационной прозрачности рынка ценных бумаг</w:t>
      </w:r>
      <w:r w:rsidR="00D232EF">
        <w:rPr>
          <w:rFonts w:ascii="Times New Roman" w:hAnsi="Times New Roman" w:cs="Times New Roman"/>
          <w:sz w:val="28"/>
          <w:szCs w:val="28"/>
        </w:rPr>
        <w:t>, в том числе, для целей защиты инвестора</w:t>
      </w:r>
      <w:r w:rsidR="003B3964" w:rsidRPr="000160C5">
        <w:rPr>
          <w:rFonts w:ascii="Times New Roman" w:hAnsi="Times New Roman" w:cs="Times New Roman"/>
          <w:sz w:val="28"/>
          <w:szCs w:val="28"/>
        </w:rPr>
        <w:t>.</w:t>
      </w:r>
    </w:p>
    <w:p w:rsidR="003B3964" w:rsidRPr="000160C5" w:rsidRDefault="00D232EF" w:rsidP="005901E8">
      <w:pPr>
        <w:keepNext/>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 о</w:t>
      </w:r>
      <w:r w:rsidR="003B3964" w:rsidRPr="000160C5">
        <w:rPr>
          <w:rFonts w:ascii="Times New Roman" w:hAnsi="Times New Roman" w:cs="Times New Roman"/>
          <w:sz w:val="28"/>
          <w:szCs w:val="28"/>
        </w:rPr>
        <w:t>перативное раскрытие информации является механизмом, опосредованно защищающим инвестор</w:t>
      </w:r>
      <w:r>
        <w:rPr>
          <w:rFonts w:ascii="Times New Roman" w:hAnsi="Times New Roman" w:cs="Times New Roman"/>
          <w:sz w:val="28"/>
          <w:szCs w:val="28"/>
        </w:rPr>
        <w:t>а</w:t>
      </w:r>
      <w:r w:rsidR="003B3964" w:rsidRPr="000160C5">
        <w:rPr>
          <w:rFonts w:ascii="Times New Roman" w:hAnsi="Times New Roman" w:cs="Times New Roman"/>
          <w:sz w:val="28"/>
          <w:szCs w:val="28"/>
        </w:rPr>
        <w:t xml:space="preserve">, благодаря которому проблемные области выявляются прежде, чем в компании-эмитенте возникнут серьезные финансовые затруднения, которые в той или иной степени скажутся на финансовом состоянии инвестора. </w:t>
      </w:r>
    </w:p>
    <w:p w:rsidR="003B3964" w:rsidRPr="000160C5" w:rsidRDefault="003B3964"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Для обеспечения оперативности раскрытия информации </w:t>
      </w:r>
      <w:r w:rsidR="00D232EF">
        <w:rPr>
          <w:rFonts w:ascii="Times New Roman" w:hAnsi="Times New Roman" w:cs="Times New Roman"/>
          <w:sz w:val="28"/>
          <w:szCs w:val="28"/>
        </w:rPr>
        <w:t>необходимы</w:t>
      </w:r>
      <w:r w:rsidRPr="000160C5">
        <w:rPr>
          <w:rFonts w:ascii="Times New Roman" w:hAnsi="Times New Roman" w:cs="Times New Roman"/>
          <w:sz w:val="28"/>
          <w:szCs w:val="28"/>
        </w:rPr>
        <w:t xml:space="preserve"> работающие механизмы, позволяющие достичь поставленных целей и задач. Указанные механизмы должны обеспечивать </w:t>
      </w:r>
      <w:r w:rsidR="009F45C9" w:rsidRPr="000160C5">
        <w:rPr>
          <w:rFonts w:ascii="Times New Roman" w:hAnsi="Times New Roman" w:cs="Times New Roman"/>
          <w:sz w:val="28"/>
          <w:szCs w:val="28"/>
        </w:rPr>
        <w:t xml:space="preserve">как нормативную базу для практического воплощения поставленных целей, так и превентивные меры, </w:t>
      </w:r>
      <w:r w:rsidR="00D232EF">
        <w:rPr>
          <w:rFonts w:ascii="Times New Roman" w:hAnsi="Times New Roman" w:cs="Times New Roman"/>
          <w:sz w:val="28"/>
          <w:szCs w:val="28"/>
        </w:rPr>
        <w:t>направленные</w:t>
      </w:r>
      <w:r w:rsidR="009F45C9" w:rsidRPr="000160C5">
        <w:rPr>
          <w:rFonts w:ascii="Times New Roman" w:hAnsi="Times New Roman" w:cs="Times New Roman"/>
          <w:sz w:val="28"/>
          <w:szCs w:val="28"/>
        </w:rPr>
        <w:t xml:space="preserve"> на добросовестное исполнение </w:t>
      </w:r>
      <w:r w:rsidR="008C1262" w:rsidRPr="000160C5">
        <w:rPr>
          <w:rFonts w:ascii="Times New Roman" w:hAnsi="Times New Roman" w:cs="Times New Roman"/>
          <w:sz w:val="28"/>
          <w:szCs w:val="28"/>
        </w:rPr>
        <w:t xml:space="preserve">эмитентами </w:t>
      </w:r>
      <w:r w:rsidR="009F45C9" w:rsidRPr="000160C5">
        <w:rPr>
          <w:rFonts w:ascii="Times New Roman" w:hAnsi="Times New Roman" w:cs="Times New Roman"/>
          <w:sz w:val="28"/>
          <w:szCs w:val="28"/>
        </w:rPr>
        <w:t xml:space="preserve">обязанности </w:t>
      </w:r>
      <w:r w:rsidR="008C1262" w:rsidRPr="000160C5">
        <w:rPr>
          <w:rFonts w:ascii="Times New Roman" w:hAnsi="Times New Roman" w:cs="Times New Roman"/>
          <w:sz w:val="28"/>
          <w:szCs w:val="28"/>
        </w:rPr>
        <w:t xml:space="preserve">по </w:t>
      </w:r>
      <w:r w:rsidR="009F45C9" w:rsidRPr="000160C5">
        <w:rPr>
          <w:rFonts w:ascii="Times New Roman" w:hAnsi="Times New Roman" w:cs="Times New Roman"/>
          <w:sz w:val="28"/>
          <w:szCs w:val="28"/>
        </w:rPr>
        <w:lastRenderedPageBreak/>
        <w:t>раскры</w:t>
      </w:r>
      <w:r w:rsidR="008C1262" w:rsidRPr="000160C5">
        <w:rPr>
          <w:rFonts w:ascii="Times New Roman" w:hAnsi="Times New Roman" w:cs="Times New Roman"/>
          <w:sz w:val="28"/>
          <w:szCs w:val="28"/>
        </w:rPr>
        <w:t>тию информации</w:t>
      </w:r>
      <w:r w:rsidR="009F45C9" w:rsidRPr="000160C5">
        <w:rPr>
          <w:rFonts w:ascii="Times New Roman" w:hAnsi="Times New Roman" w:cs="Times New Roman"/>
          <w:sz w:val="28"/>
          <w:szCs w:val="28"/>
        </w:rPr>
        <w:t xml:space="preserve">. Очевидно, что одним из таких механизмов может быть государственное регулирование и государственное принуждение. </w:t>
      </w:r>
    </w:p>
    <w:p w:rsidR="009D647B" w:rsidRPr="000160C5" w:rsidRDefault="00DE136E"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Однако механизм государственного регулирования не является единственным средством достижения поставленных целей. </w:t>
      </w:r>
      <w:r w:rsidR="00D851F4" w:rsidRPr="000160C5">
        <w:rPr>
          <w:rFonts w:ascii="Times New Roman" w:hAnsi="Times New Roman" w:cs="Times New Roman"/>
          <w:sz w:val="28"/>
          <w:szCs w:val="28"/>
        </w:rPr>
        <w:t xml:space="preserve">В совместной работе ученых из Гарвардского Университета, Университета Амстердама и Дартмутского колледжа </w:t>
      </w:r>
      <w:proofErr w:type="spellStart"/>
      <w:r w:rsidR="00D851F4" w:rsidRPr="000160C5">
        <w:rPr>
          <w:rFonts w:ascii="Times New Roman" w:hAnsi="Times New Roman" w:cs="Times New Roman"/>
          <w:sz w:val="28"/>
          <w:szCs w:val="28"/>
        </w:rPr>
        <w:t>What</w:t>
      </w:r>
      <w:proofErr w:type="spellEnd"/>
      <w:r w:rsidR="00D851F4" w:rsidRPr="000160C5">
        <w:rPr>
          <w:rFonts w:ascii="Times New Roman" w:hAnsi="Times New Roman" w:cs="Times New Roman"/>
          <w:sz w:val="28"/>
          <w:szCs w:val="28"/>
        </w:rPr>
        <w:t xml:space="preserve"> </w:t>
      </w:r>
      <w:proofErr w:type="spellStart"/>
      <w:r w:rsidR="00D851F4" w:rsidRPr="000160C5">
        <w:rPr>
          <w:rFonts w:ascii="Times New Roman" w:hAnsi="Times New Roman" w:cs="Times New Roman"/>
          <w:sz w:val="28"/>
          <w:szCs w:val="28"/>
        </w:rPr>
        <w:t>Works</w:t>
      </w:r>
      <w:proofErr w:type="spellEnd"/>
      <w:r w:rsidR="00D851F4" w:rsidRPr="000160C5">
        <w:rPr>
          <w:rFonts w:ascii="Times New Roman" w:hAnsi="Times New Roman" w:cs="Times New Roman"/>
          <w:sz w:val="28"/>
          <w:szCs w:val="28"/>
        </w:rPr>
        <w:t xml:space="preserve"> </w:t>
      </w:r>
      <w:proofErr w:type="spellStart"/>
      <w:r w:rsidR="00D851F4" w:rsidRPr="000160C5">
        <w:rPr>
          <w:rFonts w:ascii="Times New Roman" w:hAnsi="Times New Roman" w:cs="Times New Roman"/>
          <w:sz w:val="28"/>
          <w:szCs w:val="28"/>
        </w:rPr>
        <w:t>in</w:t>
      </w:r>
      <w:proofErr w:type="spellEnd"/>
      <w:r w:rsidR="00D851F4" w:rsidRPr="000160C5">
        <w:rPr>
          <w:rFonts w:ascii="Times New Roman" w:hAnsi="Times New Roman" w:cs="Times New Roman"/>
          <w:sz w:val="28"/>
          <w:szCs w:val="28"/>
        </w:rPr>
        <w:t xml:space="preserve"> </w:t>
      </w:r>
      <w:proofErr w:type="spellStart"/>
      <w:r w:rsidR="00D851F4" w:rsidRPr="000160C5">
        <w:rPr>
          <w:rFonts w:ascii="Times New Roman" w:hAnsi="Times New Roman" w:cs="Times New Roman"/>
          <w:sz w:val="28"/>
          <w:szCs w:val="28"/>
        </w:rPr>
        <w:t>Securities</w:t>
      </w:r>
      <w:proofErr w:type="spellEnd"/>
      <w:r w:rsidR="00D851F4" w:rsidRPr="000160C5">
        <w:rPr>
          <w:rFonts w:ascii="Times New Roman" w:hAnsi="Times New Roman" w:cs="Times New Roman"/>
          <w:sz w:val="28"/>
          <w:szCs w:val="28"/>
        </w:rPr>
        <w:t xml:space="preserve"> </w:t>
      </w:r>
      <w:proofErr w:type="spellStart"/>
      <w:r w:rsidR="00D851F4" w:rsidRPr="000160C5">
        <w:rPr>
          <w:rFonts w:ascii="Times New Roman" w:hAnsi="Times New Roman" w:cs="Times New Roman"/>
          <w:sz w:val="28"/>
          <w:szCs w:val="28"/>
        </w:rPr>
        <w:t>Laws</w:t>
      </w:r>
      <w:proofErr w:type="spellEnd"/>
      <w:r w:rsidR="00D851F4" w:rsidRPr="000160C5">
        <w:rPr>
          <w:rFonts w:ascii="Times New Roman" w:hAnsi="Times New Roman" w:cs="Times New Roman"/>
          <w:sz w:val="28"/>
          <w:szCs w:val="28"/>
        </w:rPr>
        <w:t>?</w:t>
      </w:r>
      <w:r w:rsidR="003E372E" w:rsidRPr="000160C5">
        <w:rPr>
          <w:rStyle w:val="a9"/>
          <w:rFonts w:ascii="Times New Roman" w:hAnsi="Times New Roman" w:cs="Times New Roman"/>
          <w:sz w:val="28"/>
          <w:szCs w:val="28"/>
        </w:rPr>
        <w:footnoteReference w:id="2"/>
      </w:r>
      <w:r w:rsidR="00D851F4" w:rsidRPr="000160C5">
        <w:rPr>
          <w:rFonts w:ascii="Times New Roman" w:hAnsi="Times New Roman" w:cs="Times New Roman"/>
          <w:sz w:val="28"/>
          <w:szCs w:val="28"/>
        </w:rPr>
        <w:t xml:space="preserve"> привод</w:t>
      </w:r>
      <w:r w:rsidR="00920759" w:rsidRPr="000160C5">
        <w:rPr>
          <w:rFonts w:ascii="Times New Roman" w:hAnsi="Times New Roman" w:cs="Times New Roman"/>
          <w:sz w:val="28"/>
          <w:szCs w:val="28"/>
        </w:rPr>
        <w:t>я</w:t>
      </w:r>
      <w:r w:rsidR="00D851F4" w:rsidRPr="000160C5">
        <w:rPr>
          <w:rFonts w:ascii="Times New Roman" w:hAnsi="Times New Roman" w:cs="Times New Roman"/>
          <w:sz w:val="28"/>
          <w:szCs w:val="28"/>
        </w:rPr>
        <w:t xml:space="preserve">тся </w:t>
      </w:r>
      <w:r w:rsidR="005A3908" w:rsidRPr="000160C5">
        <w:rPr>
          <w:rFonts w:ascii="Times New Roman" w:hAnsi="Times New Roman" w:cs="Times New Roman"/>
          <w:sz w:val="28"/>
          <w:szCs w:val="28"/>
        </w:rPr>
        <w:t>две противоположные концепции необходимости государственного вмешательства в отношения</w:t>
      </w:r>
      <w:r w:rsidR="00920759" w:rsidRPr="000160C5">
        <w:rPr>
          <w:rFonts w:ascii="Times New Roman" w:hAnsi="Times New Roman" w:cs="Times New Roman"/>
          <w:sz w:val="28"/>
          <w:szCs w:val="28"/>
        </w:rPr>
        <w:t>х</w:t>
      </w:r>
      <w:r w:rsidR="005A3908" w:rsidRPr="000160C5">
        <w:rPr>
          <w:rFonts w:ascii="Times New Roman" w:hAnsi="Times New Roman" w:cs="Times New Roman"/>
          <w:sz w:val="28"/>
          <w:szCs w:val="28"/>
        </w:rPr>
        <w:t xml:space="preserve"> на рынке ценных бумаг. </w:t>
      </w:r>
    </w:p>
    <w:p w:rsidR="005A3908" w:rsidRPr="000160C5" w:rsidRDefault="005A3908"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Согласно первой концепции, в государственном регулировании рынка ценных бумаг нет никакой необходимости, так как эмитенты заинтересованы в установлении более высоких цен</w:t>
      </w:r>
      <w:r w:rsidR="00934C0B" w:rsidRPr="00934C0B">
        <w:rPr>
          <w:rFonts w:ascii="Times New Roman" w:hAnsi="Times New Roman" w:cs="Times New Roman"/>
          <w:sz w:val="28"/>
          <w:szCs w:val="28"/>
        </w:rPr>
        <w:t xml:space="preserve"> </w:t>
      </w:r>
      <w:r w:rsidR="00934C0B">
        <w:rPr>
          <w:rFonts w:ascii="Times New Roman" w:hAnsi="Times New Roman" w:cs="Times New Roman"/>
          <w:sz w:val="28"/>
          <w:szCs w:val="28"/>
        </w:rPr>
        <w:t>на выпущенные ценные бумаги</w:t>
      </w:r>
      <w:r w:rsidRPr="000160C5">
        <w:rPr>
          <w:rFonts w:ascii="Times New Roman" w:hAnsi="Times New Roman" w:cs="Times New Roman"/>
          <w:sz w:val="28"/>
          <w:szCs w:val="28"/>
        </w:rPr>
        <w:t xml:space="preserve">, что становится возможным при </w:t>
      </w:r>
      <w:r w:rsidR="009D647B" w:rsidRPr="000160C5">
        <w:rPr>
          <w:rFonts w:ascii="Times New Roman" w:hAnsi="Times New Roman" w:cs="Times New Roman"/>
          <w:sz w:val="28"/>
          <w:szCs w:val="28"/>
        </w:rPr>
        <w:t xml:space="preserve">полноценном и всестороннем </w:t>
      </w:r>
      <w:r w:rsidRPr="000160C5">
        <w:rPr>
          <w:rFonts w:ascii="Times New Roman" w:hAnsi="Times New Roman" w:cs="Times New Roman"/>
          <w:sz w:val="28"/>
          <w:szCs w:val="28"/>
        </w:rPr>
        <w:t xml:space="preserve">раскрытии информации. </w:t>
      </w:r>
      <w:r w:rsidR="00934C0B">
        <w:rPr>
          <w:rFonts w:ascii="Times New Roman" w:hAnsi="Times New Roman" w:cs="Times New Roman"/>
          <w:sz w:val="28"/>
          <w:szCs w:val="28"/>
        </w:rPr>
        <w:t>Согласно этой точке зрения, м</w:t>
      </w:r>
      <w:r w:rsidRPr="000160C5">
        <w:rPr>
          <w:rFonts w:ascii="Times New Roman" w:hAnsi="Times New Roman" w:cs="Times New Roman"/>
          <w:sz w:val="28"/>
          <w:szCs w:val="28"/>
        </w:rPr>
        <w:t>еханизмом, приводящим в действие систему раскрытия информации эмитентами, являются частн</w:t>
      </w:r>
      <w:r w:rsidR="003A76F9" w:rsidRPr="000160C5">
        <w:rPr>
          <w:rFonts w:ascii="Times New Roman" w:hAnsi="Times New Roman" w:cs="Times New Roman"/>
          <w:sz w:val="28"/>
          <w:szCs w:val="28"/>
        </w:rPr>
        <w:t>оправовые</w:t>
      </w:r>
      <w:r w:rsidRPr="000160C5">
        <w:rPr>
          <w:rFonts w:ascii="Times New Roman" w:hAnsi="Times New Roman" w:cs="Times New Roman"/>
          <w:sz w:val="28"/>
          <w:szCs w:val="28"/>
        </w:rPr>
        <w:t xml:space="preserve"> отношения между эмитентом и инвесторами.</w:t>
      </w:r>
    </w:p>
    <w:p w:rsidR="00B36454" w:rsidRPr="000160C5" w:rsidRDefault="00B36454"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Вторая изложенная концепция гласит о недостаточности частно</w:t>
      </w:r>
      <w:r w:rsidR="003A76F9" w:rsidRPr="000160C5">
        <w:rPr>
          <w:rFonts w:ascii="Times New Roman" w:hAnsi="Times New Roman" w:cs="Times New Roman"/>
          <w:sz w:val="28"/>
          <w:szCs w:val="28"/>
        </w:rPr>
        <w:t>правовой</w:t>
      </w:r>
      <w:r w:rsidRPr="000160C5">
        <w:rPr>
          <w:rFonts w:ascii="Times New Roman" w:hAnsi="Times New Roman" w:cs="Times New Roman"/>
          <w:sz w:val="28"/>
          <w:szCs w:val="28"/>
        </w:rPr>
        <w:t xml:space="preserve"> отв</w:t>
      </w:r>
      <w:r w:rsidR="00920759" w:rsidRPr="000160C5">
        <w:rPr>
          <w:rFonts w:ascii="Times New Roman" w:hAnsi="Times New Roman" w:cs="Times New Roman"/>
          <w:sz w:val="28"/>
          <w:szCs w:val="28"/>
        </w:rPr>
        <w:t xml:space="preserve">етственности эмитента </w:t>
      </w:r>
      <w:r w:rsidR="003A76F9" w:rsidRPr="000160C5">
        <w:rPr>
          <w:rFonts w:ascii="Times New Roman" w:hAnsi="Times New Roman" w:cs="Times New Roman"/>
          <w:sz w:val="28"/>
          <w:szCs w:val="28"/>
        </w:rPr>
        <w:t>перед инвестором по причине</w:t>
      </w:r>
      <w:r w:rsidR="00920759" w:rsidRPr="000160C5">
        <w:rPr>
          <w:rFonts w:ascii="Times New Roman" w:hAnsi="Times New Roman" w:cs="Times New Roman"/>
          <w:sz w:val="28"/>
          <w:szCs w:val="28"/>
        </w:rPr>
        <w:t xml:space="preserve"> </w:t>
      </w:r>
      <w:r w:rsidRPr="000160C5">
        <w:rPr>
          <w:rFonts w:ascii="Times New Roman" w:hAnsi="Times New Roman" w:cs="Times New Roman"/>
          <w:sz w:val="28"/>
          <w:szCs w:val="28"/>
        </w:rPr>
        <w:t xml:space="preserve"> высоки</w:t>
      </w:r>
      <w:r w:rsidR="003A76F9" w:rsidRPr="000160C5">
        <w:rPr>
          <w:rFonts w:ascii="Times New Roman" w:hAnsi="Times New Roman" w:cs="Times New Roman"/>
          <w:sz w:val="28"/>
          <w:szCs w:val="28"/>
        </w:rPr>
        <w:t>х</w:t>
      </w:r>
      <w:r w:rsidRPr="000160C5">
        <w:rPr>
          <w:rFonts w:ascii="Times New Roman" w:hAnsi="Times New Roman" w:cs="Times New Roman"/>
          <w:sz w:val="28"/>
          <w:szCs w:val="28"/>
        </w:rPr>
        <w:t xml:space="preserve"> </w:t>
      </w:r>
      <w:r w:rsidR="003A76F9" w:rsidRPr="000160C5">
        <w:rPr>
          <w:rFonts w:ascii="Times New Roman" w:hAnsi="Times New Roman" w:cs="Times New Roman"/>
          <w:sz w:val="28"/>
          <w:szCs w:val="28"/>
        </w:rPr>
        <w:t>судебных издержек</w:t>
      </w:r>
      <w:r w:rsidRPr="000160C5">
        <w:rPr>
          <w:rFonts w:ascii="Times New Roman" w:hAnsi="Times New Roman" w:cs="Times New Roman"/>
          <w:sz w:val="28"/>
          <w:szCs w:val="28"/>
        </w:rPr>
        <w:t xml:space="preserve"> и непредсказуемост</w:t>
      </w:r>
      <w:r w:rsidR="003A76F9" w:rsidRPr="000160C5">
        <w:rPr>
          <w:rFonts w:ascii="Times New Roman" w:hAnsi="Times New Roman" w:cs="Times New Roman"/>
          <w:sz w:val="28"/>
          <w:szCs w:val="28"/>
        </w:rPr>
        <w:t>и</w:t>
      </w:r>
      <w:r w:rsidRPr="000160C5">
        <w:rPr>
          <w:rFonts w:ascii="Times New Roman" w:hAnsi="Times New Roman" w:cs="Times New Roman"/>
          <w:sz w:val="28"/>
          <w:szCs w:val="28"/>
        </w:rPr>
        <w:t xml:space="preserve"> судебного разбирательства. В </w:t>
      </w:r>
      <w:proofErr w:type="gramStart"/>
      <w:r w:rsidRPr="000160C5">
        <w:rPr>
          <w:rFonts w:ascii="Times New Roman" w:hAnsi="Times New Roman" w:cs="Times New Roman"/>
          <w:sz w:val="28"/>
          <w:szCs w:val="28"/>
        </w:rPr>
        <w:t>связи</w:t>
      </w:r>
      <w:proofErr w:type="gramEnd"/>
      <w:r w:rsidRPr="000160C5">
        <w:rPr>
          <w:rFonts w:ascii="Times New Roman" w:hAnsi="Times New Roman" w:cs="Times New Roman"/>
          <w:sz w:val="28"/>
          <w:szCs w:val="28"/>
        </w:rPr>
        <w:t xml:space="preserve"> с чем необходимо принятие законодательства о рынке ценных бумаг, </w:t>
      </w:r>
      <w:r w:rsidR="00934C0B">
        <w:rPr>
          <w:rFonts w:ascii="Times New Roman" w:hAnsi="Times New Roman" w:cs="Times New Roman"/>
          <w:sz w:val="28"/>
          <w:szCs w:val="28"/>
        </w:rPr>
        <w:t>устанавливающего</w:t>
      </w:r>
      <w:r w:rsidRPr="000160C5">
        <w:rPr>
          <w:rFonts w:ascii="Times New Roman" w:hAnsi="Times New Roman" w:cs="Times New Roman"/>
          <w:sz w:val="28"/>
          <w:szCs w:val="28"/>
        </w:rPr>
        <w:t xml:space="preserve"> публичную обязанность эмитента раскрывать информацию.</w:t>
      </w:r>
      <w:r w:rsidR="00BB060A" w:rsidRPr="000160C5">
        <w:rPr>
          <w:rFonts w:ascii="Times New Roman" w:hAnsi="Times New Roman" w:cs="Times New Roman"/>
          <w:sz w:val="28"/>
          <w:szCs w:val="28"/>
        </w:rPr>
        <w:t xml:space="preserve"> Публичное принуждение является более эффективным, что связано с беспристрастностью и независимостью </w:t>
      </w:r>
      <w:r w:rsidR="004819D3" w:rsidRPr="000160C5">
        <w:rPr>
          <w:rFonts w:ascii="Times New Roman" w:hAnsi="Times New Roman" w:cs="Times New Roman"/>
          <w:sz w:val="28"/>
          <w:szCs w:val="28"/>
        </w:rPr>
        <w:t xml:space="preserve">регулятора на рынке ценных бумаг, </w:t>
      </w:r>
      <w:r w:rsidR="00347B9D" w:rsidRPr="000160C5">
        <w:rPr>
          <w:rFonts w:ascii="Times New Roman" w:hAnsi="Times New Roman" w:cs="Times New Roman"/>
          <w:sz w:val="28"/>
          <w:szCs w:val="28"/>
        </w:rPr>
        <w:t xml:space="preserve">его </w:t>
      </w:r>
      <w:r w:rsidR="004819D3" w:rsidRPr="000160C5">
        <w:rPr>
          <w:rFonts w:ascii="Times New Roman" w:hAnsi="Times New Roman" w:cs="Times New Roman"/>
          <w:sz w:val="28"/>
          <w:szCs w:val="28"/>
        </w:rPr>
        <w:t xml:space="preserve">нормотворческими функциями, а также </w:t>
      </w:r>
      <w:r w:rsidR="00347B9D" w:rsidRPr="000160C5">
        <w:rPr>
          <w:rFonts w:ascii="Times New Roman" w:hAnsi="Times New Roman" w:cs="Times New Roman"/>
          <w:sz w:val="28"/>
          <w:szCs w:val="28"/>
        </w:rPr>
        <w:t>полномочи</w:t>
      </w:r>
      <w:r w:rsidR="00296F15">
        <w:rPr>
          <w:rFonts w:ascii="Times New Roman" w:hAnsi="Times New Roman" w:cs="Times New Roman"/>
          <w:sz w:val="28"/>
          <w:szCs w:val="28"/>
        </w:rPr>
        <w:t>я</w:t>
      </w:r>
      <w:r w:rsidR="00347B9D" w:rsidRPr="000160C5">
        <w:rPr>
          <w:rFonts w:ascii="Times New Roman" w:hAnsi="Times New Roman" w:cs="Times New Roman"/>
          <w:sz w:val="28"/>
          <w:szCs w:val="28"/>
        </w:rPr>
        <w:t>м</w:t>
      </w:r>
      <w:r w:rsidR="00296F15">
        <w:rPr>
          <w:rFonts w:ascii="Times New Roman" w:hAnsi="Times New Roman" w:cs="Times New Roman"/>
          <w:sz w:val="28"/>
          <w:szCs w:val="28"/>
        </w:rPr>
        <w:t>и</w:t>
      </w:r>
      <w:r w:rsidR="00347B9D" w:rsidRPr="000160C5">
        <w:rPr>
          <w:rFonts w:ascii="Times New Roman" w:hAnsi="Times New Roman" w:cs="Times New Roman"/>
          <w:sz w:val="28"/>
          <w:szCs w:val="28"/>
        </w:rPr>
        <w:t xml:space="preserve"> по</w:t>
      </w:r>
      <w:r w:rsidR="004819D3" w:rsidRPr="000160C5">
        <w:rPr>
          <w:rFonts w:ascii="Times New Roman" w:hAnsi="Times New Roman" w:cs="Times New Roman"/>
          <w:sz w:val="28"/>
          <w:szCs w:val="28"/>
        </w:rPr>
        <w:t xml:space="preserve"> привлечени</w:t>
      </w:r>
      <w:r w:rsidR="00347B9D" w:rsidRPr="000160C5">
        <w:rPr>
          <w:rFonts w:ascii="Times New Roman" w:hAnsi="Times New Roman" w:cs="Times New Roman"/>
          <w:sz w:val="28"/>
          <w:szCs w:val="28"/>
        </w:rPr>
        <w:t>ю</w:t>
      </w:r>
      <w:r w:rsidR="004819D3" w:rsidRPr="000160C5">
        <w:rPr>
          <w:rFonts w:ascii="Times New Roman" w:hAnsi="Times New Roman" w:cs="Times New Roman"/>
          <w:sz w:val="28"/>
          <w:szCs w:val="28"/>
        </w:rPr>
        <w:t xml:space="preserve"> к </w:t>
      </w:r>
      <w:r w:rsidR="00FE57BE" w:rsidRPr="000160C5">
        <w:rPr>
          <w:rFonts w:ascii="Times New Roman" w:hAnsi="Times New Roman" w:cs="Times New Roman"/>
          <w:sz w:val="28"/>
          <w:szCs w:val="28"/>
        </w:rPr>
        <w:t xml:space="preserve">публичной </w:t>
      </w:r>
      <w:r w:rsidR="004819D3" w:rsidRPr="000160C5">
        <w:rPr>
          <w:rFonts w:ascii="Times New Roman" w:hAnsi="Times New Roman" w:cs="Times New Roman"/>
          <w:sz w:val="28"/>
          <w:szCs w:val="28"/>
        </w:rPr>
        <w:t>ответственности.</w:t>
      </w:r>
    </w:p>
    <w:p w:rsidR="003A76F9" w:rsidRPr="000160C5" w:rsidRDefault="003E372E"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Стоит отметить, что  </w:t>
      </w:r>
      <w:r w:rsidR="004F1017" w:rsidRPr="000160C5">
        <w:rPr>
          <w:rFonts w:ascii="Times New Roman" w:hAnsi="Times New Roman" w:cs="Times New Roman"/>
          <w:sz w:val="28"/>
          <w:szCs w:val="28"/>
        </w:rPr>
        <w:t xml:space="preserve">исследуемые в рамках настоящей работы страны </w:t>
      </w:r>
      <w:proofErr w:type="gramStart"/>
      <w:r w:rsidR="004F1017" w:rsidRPr="000160C5">
        <w:rPr>
          <w:rFonts w:ascii="Times New Roman" w:hAnsi="Times New Roman" w:cs="Times New Roman"/>
          <w:sz w:val="28"/>
          <w:szCs w:val="28"/>
        </w:rPr>
        <w:t>-</w:t>
      </w:r>
      <w:r w:rsidRPr="000160C5">
        <w:rPr>
          <w:rFonts w:ascii="Times New Roman" w:hAnsi="Times New Roman" w:cs="Times New Roman"/>
          <w:sz w:val="28"/>
          <w:szCs w:val="28"/>
        </w:rPr>
        <w:t>Р</w:t>
      </w:r>
      <w:proofErr w:type="gramEnd"/>
      <w:r w:rsidRPr="000160C5">
        <w:rPr>
          <w:rFonts w:ascii="Times New Roman" w:hAnsi="Times New Roman" w:cs="Times New Roman"/>
          <w:sz w:val="28"/>
          <w:szCs w:val="28"/>
        </w:rPr>
        <w:t xml:space="preserve">оссия и США </w:t>
      </w:r>
      <w:r w:rsidR="004F1017" w:rsidRPr="000160C5">
        <w:rPr>
          <w:rFonts w:ascii="Times New Roman" w:hAnsi="Times New Roman" w:cs="Times New Roman"/>
          <w:sz w:val="28"/>
          <w:szCs w:val="28"/>
        </w:rPr>
        <w:t xml:space="preserve">- </w:t>
      </w:r>
      <w:r w:rsidR="003A76F9" w:rsidRPr="000160C5">
        <w:rPr>
          <w:rFonts w:ascii="Times New Roman" w:hAnsi="Times New Roman" w:cs="Times New Roman"/>
          <w:sz w:val="28"/>
          <w:szCs w:val="28"/>
        </w:rPr>
        <w:t>реализовали вторую концепцию публичной обязанности эмитента</w:t>
      </w:r>
      <w:r w:rsidR="004F1017" w:rsidRPr="000160C5">
        <w:rPr>
          <w:rFonts w:ascii="Times New Roman" w:hAnsi="Times New Roman" w:cs="Times New Roman"/>
          <w:sz w:val="28"/>
          <w:szCs w:val="28"/>
        </w:rPr>
        <w:t xml:space="preserve">: </w:t>
      </w:r>
      <w:r w:rsidRPr="000160C5">
        <w:rPr>
          <w:rFonts w:ascii="Times New Roman" w:hAnsi="Times New Roman" w:cs="Times New Roman"/>
          <w:sz w:val="28"/>
          <w:szCs w:val="28"/>
        </w:rPr>
        <w:t xml:space="preserve">обеим странам присуще сильное </w:t>
      </w:r>
      <w:r w:rsidR="003A76F9" w:rsidRPr="000160C5">
        <w:rPr>
          <w:rFonts w:ascii="Times New Roman" w:hAnsi="Times New Roman" w:cs="Times New Roman"/>
          <w:sz w:val="28"/>
          <w:szCs w:val="28"/>
        </w:rPr>
        <w:t xml:space="preserve">централизованное </w:t>
      </w:r>
      <w:r w:rsidRPr="000160C5">
        <w:rPr>
          <w:rFonts w:ascii="Times New Roman" w:hAnsi="Times New Roman" w:cs="Times New Roman"/>
          <w:sz w:val="28"/>
          <w:szCs w:val="28"/>
        </w:rPr>
        <w:t>государственное регулирование рынка ценных бумаг</w:t>
      </w:r>
      <w:r w:rsidR="00347B9D" w:rsidRPr="000160C5">
        <w:rPr>
          <w:rFonts w:ascii="Times New Roman" w:hAnsi="Times New Roman" w:cs="Times New Roman"/>
          <w:sz w:val="28"/>
          <w:szCs w:val="28"/>
        </w:rPr>
        <w:t>,</w:t>
      </w:r>
      <w:r w:rsidRPr="000160C5">
        <w:rPr>
          <w:rFonts w:ascii="Times New Roman" w:hAnsi="Times New Roman" w:cs="Times New Roman"/>
          <w:sz w:val="28"/>
          <w:szCs w:val="28"/>
        </w:rPr>
        <w:t xml:space="preserve"> стро</w:t>
      </w:r>
      <w:r w:rsidR="00347B9D" w:rsidRPr="000160C5">
        <w:rPr>
          <w:rFonts w:ascii="Times New Roman" w:hAnsi="Times New Roman" w:cs="Times New Roman"/>
          <w:sz w:val="28"/>
          <w:szCs w:val="28"/>
        </w:rPr>
        <w:t>ящее</w:t>
      </w:r>
      <w:r w:rsidRPr="000160C5">
        <w:rPr>
          <w:rFonts w:ascii="Times New Roman" w:hAnsi="Times New Roman" w:cs="Times New Roman"/>
          <w:sz w:val="28"/>
          <w:szCs w:val="28"/>
        </w:rPr>
        <w:t xml:space="preserve">ся по модели </w:t>
      </w:r>
      <w:r w:rsidRPr="000160C5">
        <w:rPr>
          <w:rFonts w:ascii="Times New Roman" w:hAnsi="Times New Roman" w:cs="Times New Roman"/>
          <w:sz w:val="28"/>
          <w:szCs w:val="28"/>
        </w:rPr>
        <w:lastRenderedPageBreak/>
        <w:t>строгого следования нормативным предписаниям и удельной роли регулятора.</w:t>
      </w:r>
      <w:r w:rsidR="004F1017" w:rsidRPr="000160C5">
        <w:rPr>
          <w:rFonts w:ascii="Times New Roman" w:hAnsi="Times New Roman" w:cs="Times New Roman"/>
          <w:sz w:val="28"/>
          <w:szCs w:val="28"/>
        </w:rPr>
        <w:t xml:space="preserve"> Однако если законодательство США в области рынка ценных бумаг отличается своей стабильностью и устойчивостью, то</w:t>
      </w:r>
      <w:r w:rsidRPr="000160C5">
        <w:rPr>
          <w:rFonts w:ascii="Times New Roman" w:hAnsi="Times New Roman" w:cs="Times New Roman"/>
          <w:sz w:val="28"/>
          <w:szCs w:val="28"/>
        </w:rPr>
        <w:t xml:space="preserve"> российское </w:t>
      </w:r>
      <w:r w:rsidR="004F1017" w:rsidRPr="000160C5">
        <w:rPr>
          <w:rFonts w:ascii="Times New Roman" w:hAnsi="Times New Roman" w:cs="Times New Roman"/>
          <w:sz w:val="28"/>
          <w:szCs w:val="28"/>
        </w:rPr>
        <w:t>-</w:t>
      </w:r>
      <w:r w:rsidRPr="000160C5">
        <w:rPr>
          <w:rFonts w:ascii="Times New Roman" w:hAnsi="Times New Roman" w:cs="Times New Roman"/>
          <w:sz w:val="28"/>
          <w:szCs w:val="28"/>
        </w:rPr>
        <w:t xml:space="preserve"> является относительно молодым, что связано с историческими предпосылками и особенностями развития экон</w:t>
      </w:r>
      <w:r w:rsidR="004F1017" w:rsidRPr="000160C5">
        <w:rPr>
          <w:rFonts w:ascii="Times New Roman" w:hAnsi="Times New Roman" w:cs="Times New Roman"/>
          <w:sz w:val="28"/>
          <w:szCs w:val="28"/>
        </w:rPr>
        <w:t>омики</w:t>
      </w:r>
      <w:r w:rsidR="00347B9D" w:rsidRPr="000160C5">
        <w:rPr>
          <w:rFonts w:ascii="Times New Roman" w:hAnsi="Times New Roman" w:cs="Times New Roman"/>
          <w:sz w:val="28"/>
          <w:szCs w:val="28"/>
        </w:rPr>
        <w:t xml:space="preserve"> (в том числе финансового рынка)</w:t>
      </w:r>
      <w:r w:rsidR="004F1017" w:rsidRPr="000160C5">
        <w:rPr>
          <w:rFonts w:ascii="Times New Roman" w:hAnsi="Times New Roman" w:cs="Times New Roman"/>
          <w:sz w:val="28"/>
          <w:szCs w:val="28"/>
        </w:rPr>
        <w:t xml:space="preserve"> в постсоветской России</w:t>
      </w:r>
      <w:r w:rsidRPr="000160C5">
        <w:rPr>
          <w:rFonts w:ascii="Times New Roman" w:hAnsi="Times New Roman" w:cs="Times New Roman"/>
          <w:sz w:val="28"/>
          <w:szCs w:val="28"/>
        </w:rPr>
        <w:t xml:space="preserve">. </w:t>
      </w:r>
    </w:p>
    <w:p w:rsidR="003E372E" w:rsidRPr="000160C5" w:rsidRDefault="00FB7A60" w:rsidP="005901E8">
      <w:pPr>
        <w:keepNext/>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Касательно</w:t>
      </w:r>
      <w:r w:rsidR="00934C0B">
        <w:rPr>
          <w:rFonts w:ascii="Times New Roman" w:hAnsi="Times New Roman" w:cs="Times New Roman"/>
          <w:sz w:val="28"/>
          <w:szCs w:val="28"/>
        </w:rPr>
        <w:t xml:space="preserve"> необходимости нормативного регулирования рынка ценных бумаг в США, </w:t>
      </w:r>
      <w:r w:rsidR="008F6E5E" w:rsidRPr="000160C5">
        <w:rPr>
          <w:rFonts w:ascii="Times New Roman" w:hAnsi="Times New Roman" w:cs="Times New Roman"/>
          <w:sz w:val="28"/>
          <w:szCs w:val="28"/>
        </w:rPr>
        <w:t>президент Рузвельт</w:t>
      </w:r>
      <w:r w:rsidR="00934C0B">
        <w:rPr>
          <w:rFonts w:ascii="Times New Roman" w:hAnsi="Times New Roman" w:cs="Times New Roman"/>
          <w:sz w:val="28"/>
          <w:szCs w:val="28"/>
        </w:rPr>
        <w:t xml:space="preserve"> в своем сообщении</w:t>
      </w:r>
      <w:r>
        <w:rPr>
          <w:rStyle w:val="a9"/>
          <w:rFonts w:ascii="Times New Roman" w:hAnsi="Times New Roman" w:cs="Times New Roman"/>
          <w:sz w:val="28"/>
          <w:szCs w:val="28"/>
        </w:rPr>
        <w:footnoteReference w:id="3"/>
      </w:r>
      <w:r w:rsidR="008F6E5E" w:rsidRPr="000160C5">
        <w:rPr>
          <w:rFonts w:ascii="Times New Roman" w:hAnsi="Times New Roman" w:cs="Times New Roman"/>
          <w:sz w:val="28"/>
          <w:szCs w:val="28"/>
        </w:rPr>
        <w:t xml:space="preserve"> </w:t>
      </w:r>
      <w:r w:rsidR="00934C0B">
        <w:rPr>
          <w:rFonts w:ascii="Times New Roman" w:hAnsi="Times New Roman" w:cs="Times New Roman"/>
          <w:sz w:val="28"/>
          <w:szCs w:val="28"/>
        </w:rPr>
        <w:t>указал</w:t>
      </w:r>
      <w:r w:rsidR="008F6E5E" w:rsidRPr="000160C5">
        <w:rPr>
          <w:rFonts w:ascii="Times New Roman" w:hAnsi="Times New Roman" w:cs="Times New Roman"/>
          <w:sz w:val="28"/>
          <w:szCs w:val="28"/>
        </w:rPr>
        <w:t xml:space="preserve"> на необходимость перераспределения ответственности при покупке ценных бумаг</w:t>
      </w:r>
      <w:r>
        <w:rPr>
          <w:rFonts w:ascii="Times New Roman" w:hAnsi="Times New Roman" w:cs="Times New Roman"/>
          <w:sz w:val="28"/>
          <w:szCs w:val="28"/>
        </w:rPr>
        <w:t xml:space="preserve"> с </w:t>
      </w:r>
      <w:r w:rsidR="008F6E5E" w:rsidRPr="000160C5">
        <w:rPr>
          <w:rFonts w:ascii="Times New Roman" w:hAnsi="Times New Roman" w:cs="Times New Roman"/>
          <w:sz w:val="28"/>
          <w:szCs w:val="28"/>
        </w:rPr>
        <w:t>покупател</w:t>
      </w:r>
      <w:r>
        <w:rPr>
          <w:rFonts w:ascii="Times New Roman" w:hAnsi="Times New Roman" w:cs="Times New Roman"/>
          <w:sz w:val="28"/>
          <w:szCs w:val="28"/>
        </w:rPr>
        <w:t>я</w:t>
      </w:r>
      <w:r w:rsidR="008F6E5E" w:rsidRPr="000160C5">
        <w:rPr>
          <w:rFonts w:ascii="Times New Roman" w:hAnsi="Times New Roman" w:cs="Times New Roman"/>
          <w:sz w:val="28"/>
          <w:szCs w:val="28"/>
        </w:rPr>
        <w:t xml:space="preserve"> (т.н. правило «</w:t>
      </w:r>
      <w:proofErr w:type="spellStart"/>
      <w:r w:rsidR="008F6E5E" w:rsidRPr="000160C5">
        <w:rPr>
          <w:rFonts w:ascii="Times New Roman" w:hAnsi="Times New Roman" w:cs="Times New Roman"/>
          <w:sz w:val="28"/>
          <w:szCs w:val="28"/>
        </w:rPr>
        <w:t>caveat</w:t>
      </w:r>
      <w:proofErr w:type="spellEnd"/>
      <w:r w:rsidR="008F6E5E" w:rsidRPr="000160C5">
        <w:rPr>
          <w:rFonts w:ascii="Times New Roman" w:hAnsi="Times New Roman" w:cs="Times New Roman"/>
          <w:sz w:val="28"/>
          <w:szCs w:val="28"/>
        </w:rPr>
        <w:t xml:space="preserve"> </w:t>
      </w:r>
      <w:proofErr w:type="spellStart"/>
      <w:r w:rsidR="008F6E5E" w:rsidRPr="000160C5">
        <w:rPr>
          <w:rFonts w:ascii="Times New Roman" w:hAnsi="Times New Roman" w:cs="Times New Roman"/>
          <w:sz w:val="28"/>
          <w:szCs w:val="28"/>
        </w:rPr>
        <w:t>emptor</w:t>
      </w:r>
      <w:proofErr w:type="spellEnd"/>
      <w:r w:rsidR="008F6E5E" w:rsidRPr="000160C5">
        <w:rPr>
          <w:rFonts w:ascii="Times New Roman" w:hAnsi="Times New Roman" w:cs="Times New Roman"/>
          <w:sz w:val="28"/>
          <w:szCs w:val="28"/>
        </w:rPr>
        <w:t xml:space="preserve">») в пользу продавца так, чтобы и продавец нес ответственность за качество </w:t>
      </w:r>
      <w:r w:rsidR="003A76F9" w:rsidRPr="000160C5">
        <w:rPr>
          <w:rFonts w:ascii="Times New Roman" w:hAnsi="Times New Roman" w:cs="Times New Roman"/>
          <w:sz w:val="28"/>
          <w:szCs w:val="28"/>
        </w:rPr>
        <w:t xml:space="preserve">реализуемого им </w:t>
      </w:r>
      <w:r w:rsidR="008F6E5E" w:rsidRPr="000160C5">
        <w:rPr>
          <w:rFonts w:ascii="Times New Roman" w:hAnsi="Times New Roman" w:cs="Times New Roman"/>
          <w:sz w:val="28"/>
          <w:szCs w:val="28"/>
        </w:rPr>
        <w:t>товара</w:t>
      </w:r>
      <w:r w:rsidR="00A56FF2" w:rsidRPr="000160C5">
        <w:rPr>
          <w:rStyle w:val="a9"/>
          <w:rFonts w:ascii="Times New Roman" w:hAnsi="Times New Roman" w:cs="Times New Roman"/>
          <w:sz w:val="28"/>
          <w:szCs w:val="28"/>
        </w:rPr>
        <w:footnoteReference w:id="4"/>
      </w:r>
      <w:r w:rsidR="008F6E5E" w:rsidRPr="000160C5">
        <w:rPr>
          <w:rFonts w:ascii="Times New Roman" w:hAnsi="Times New Roman" w:cs="Times New Roman"/>
          <w:sz w:val="28"/>
          <w:szCs w:val="28"/>
        </w:rPr>
        <w:t xml:space="preserve">.    </w:t>
      </w:r>
    </w:p>
    <w:p w:rsidR="00E21088" w:rsidRPr="000160C5" w:rsidRDefault="00FB7A60" w:rsidP="005901E8">
      <w:pPr>
        <w:keepNext/>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п</w:t>
      </w:r>
      <w:r w:rsidR="00964B0A" w:rsidRPr="000160C5">
        <w:rPr>
          <w:rFonts w:ascii="Times New Roman" w:hAnsi="Times New Roman" w:cs="Times New Roman"/>
          <w:sz w:val="28"/>
          <w:szCs w:val="28"/>
        </w:rPr>
        <w:t xml:space="preserve">рофессор права </w:t>
      </w:r>
      <w:proofErr w:type="spellStart"/>
      <w:r w:rsidR="00964B0A" w:rsidRPr="000160C5">
        <w:rPr>
          <w:rFonts w:ascii="Times New Roman" w:hAnsi="Times New Roman" w:cs="Times New Roman"/>
          <w:sz w:val="28"/>
          <w:szCs w:val="28"/>
        </w:rPr>
        <w:t>Мичиганского</w:t>
      </w:r>
      <w:proofErr w:type="spellEnd"/>
      <w:r w:rsidR="00964B0A" w:rsidRPr="000160C5">
        <w:rPr>
          <w:rFonts w:ascii="Times New Roman" w:hAnsi="Times New Roman" w:cs="Times New Roman"/>
          <w:sz w:val="28"/>
          <w:szCs w:val="28"/>
        </w:rPr>
        <w:t xml:space="preserve"> университета </w:t>
      </w:r>
      <w:r w:rsidR="00964B0A" w:rsidRPr="000160C5">
        <w:rPr>
          <w:rFonts w:ascii="Times New Roman" w:hAnsi="Times New Roman" w:cs="Times New Roman"/>
          <w:sz w:val="28"/>
          <w:szCs w:val="28"/>
          <w:lang w:val="en-US"/>
        </w:rPr>
        <w:t>Robert</w:t>
      </w:r>
      <w:r w:rsidR="00964B0A" w:rsidRPr="000160C5">
        <w:rPr>
          <w:rFonts w:ascii="Times New Roman" w:hAnsi="Times New Roman" w:cs="Times New Roman"/>
          <w:sz w:val="28"/>
          <w:szCs w:val="28"/>
        </w:rPr>
        <w:t xml:space="preserve"> L. </w:t>
      </w:r>
      <w:proofErr w:type="spellStart"/>
      <w:proofErr w:type="gramStart"/>
      <w:r w:rsidR="00964B0A" w:rsidRPr="000160C5">
        <w:rPr>
          <w:rFonts w:ascii="Times New Roman" w:hAnsi="Times New Roman" w:cs="Times New Roman"/>
          <w:sz w:val="28"/>
          <w:szCs w:val="28"/>
          <w:lang w:val="en-US"/>
        </w:rPr>
        <w:t>Knauss</w:t>
      </w:r>
      <w:proofErr w:type="spellEnd"/>
      <w:r w:rsidR="00964B0A" w:rsidRPr="000160C5">
        <w:rPr>
          <w:rFonts w:ascii="Times New Roman" w:hAnsi="Times New Roman" w:cs="Times New Roman"/>
          <w:sz w:val="28"/>
          <w:szCs w:val="28"/>
        </w:rPr>
        <w:t xml:space="preserve"> </w:t>
      </w:r>
      <w:r>
        <w:rPr>
          <w:rFonts w:ascii="Times New Roman" w:hAnsi="Times New Roman" w:cs="Times New Roman"/>
          <w:sz w:val="28"/>
          <w:szCs w:val="28"/>
        </w:rPr>
        <w:t>уже</w:t>
      </w:r>
      <w:r w:rsidR="00964B0A" w:rsidRPr="000160C5">
        <w:rPr>
          <w:rFonts w:ascii="Times New Roman" w:hAnsi="Times New Roman" w:cs="Times New Roman"/>
          <w:sz w:val="28"/>
          <w:szCs w:val="28"/>
        </w:rPr>
        <w:t xml:space="preserve"> в 1968 </w:t>
      </w:r>
      <w:r w:rsidR="00E21088" w:rsidRPr="000160C5">
        <w:rPr>
          <w:rFonts w:ascii="Times New Roman" w:hAnsi="Times New Roman" w:cs="Times New Roman"/>
          <w:sz w:val="28"/>
          <w:szCs w:val="28"/>
        </w:rPr>
        <w:t xml:space="preserve">году </w:t>
      </w:r>
      <w:r w:rsidR="00964B0A" w:rsidRPr="000160C5">
        <w:rPr>
          <w:rFonts w:ascii="Times New Roman" w:hAnsi="Times New Roman" w:cs="Times New Roman"/>
          <w:sz w:val="28"/>
          <w:szCs w:val="28"/>
        </w:rPr>
        <w:t>указал на то, что защита частных интересов инвестора является важнейшей причиной необходимости государственного регулирования раскрытия информации.</w:t>
      </w:r>
      <w:proofErr w:type="gramEnd"/>
      <w:r w:rsidR="00964B0A" w:rsidRPr="000160C5">
        <w:rPr>
          <w:rFonts w:ascii="Times New Roman" w:hAnsi="Times New Roman" w:cs="Times New Roman"/>
          <w:sz w:val="28"/>
          <w:szCs w:val="28"/>
        </w:rPr>
        <w:t xml:space="preserve"> </w:t>
      </w:r>
    </w:p>
    <w:p w:rsidR="00964B0A" w:rsidRPr="000160C5" w:rsidRDefault="00964B0A"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Второй причиной, по мнению </w:t>
      </w:r>
      <w:r w:rsidR="00FB7A60">
        <w:rPr>
          <w:rFonts w:ascii="Times New Roman" w:hAnsi="Times New Roman" w:cs="Times New Roman"/>
          <w:sz w:val="28"/>
          <w:szCs w:val="28"/>
        </w:rPr>
        <w:t>профессора</w:t>
      </w:r>
      <w:r w:rsidRPr="000160C5">
        <w:rPr>
          <w:rFonts w:ascii="Times New Roman" w:hAnsi="Times New Roman" w:cs="Times New Roman"/>
          <w:sz w:val="28"/>
          <w:szCs w:val="28"/>
        </w:rPr>
        <w:t>, является защита публичного интереса в наличии продуктивно функционирующего рынка ценных бумаг и эффективного движения капиталов.</w:t>
      </w:r>
      <w:r w:rsidR="00032839" w:rsidRPr="000160C5">
        <w:rPr>
          <w:rFonts w:ascii="Times New Roman" w:hAnsi="Times New Roman" w:cs="Times New Roman"/>
          <w:sz w:val="28"/>
          <w:szCs w:val="28"/>
        </w:rPr>
        <w:t xml:space="preserve"> </w:t>
      </w:r>
    </w:p>
    <w:p w:rsidR="00032839" w:rsidRPr="000160C5" w:rsidRDefault="00032839"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Стоит отметить, что принятый после фондового краха в США </w:t>
      </w:r>
      <w:r w:rsidR="008513D3" w:rsidRPr="000160C5">
        <w:rPr>
          <w:rFonts w:ascii="Times New Roman" w:hAnsi="Times New Roman" w:cs="Times New Roman"/>
          <w:sz w:val="28"/>
          <w:szCs w:val="28"/>
        </w:rPr>
        <w:t>З</w:t>
      </w:r>
      <w:r w:rsidRPr="000160C5">
        <w:rPr>
          <w:rFonts w:ascii="Times New Roman" w:hAnsi="Times New Roman" w:cs="Times New Roman"/>
          <w:sz w:val="28"/>
          <w:szCs w:val="28"/>
        </w:rPr>
        <w:t>акон о ценных бумагах 1933 года</w:t>
      </w:r>
      <w:r w:rsidR="008513D3" w:rsidRPr="000160C5">
        <w:rPr>
          <w:rFonts w:ascii="Times New Roman" w:hAnsi="Times New Roman" w:cs="Times New Roman"/>
          <w:sz w:val="28"/>
          <w:szCs w:val="28"/>
        </w:rPr>
        <w:t xml:space="preserve"> (</w:t>
      </w:r>
      <w:r w:rsidR="008513D3" w:rsidRPr="000160C5">
        <w:rPr>
          <w:rFonts w:ascii="Times New Roman" w:hAnsi="Times New Roman" w:cs="Times New Roman"/>
          <w:sz w:val="28"/>
          <w:szCs w:val="28"/>
          <w:lang w:val="en-US"/>
        </w:rPr>
        <w:t>the</w:t>
      </w:r>
      <w:r w:rsidR="008513D3" w:rsidRPr="000160C5">
        <w:rPr>
          <w:rFonts w:ascii="Times New Roman" w:hAnsi="Times New Roman" w:cs="Times New Roman"/>
          <w:sz w:val="28"/>
          <w:szCs w:val="28"/>
        </w:rPr>
        <w:t xml:space="preserve"> </w:t>
      </w:r>
      <w:r w:rsidR="008513D3" w:rsidRPr="000160C5">
        <w:rPr>
          <w:rFonts w:ascii="Times New Roman" w:hAnsi="Times New Roman" w:cs="Times New Roman"/>
          <w:sz w:val="28"/>
          <w:szCs w:val="28"/>
          <w:lang w:val="en-US"/>
        </w:rPr>
        <w:t>Securities</w:t>
      </w:r>
      <w:r w:rsidR="008513D3" w:rsidRPr="000160C5">
        <w:rPr>
          <w:rFonts w:ascii="Times New Roman" w:hAnsi="Times New Roman" w:cs="Times New Roman"/>
          <w:sz w:val="28"/>
          <w:szCs w:val="28"/>
        </w:rPr>
        <w:t xml:space="preserve"> </w:t>
      </w:r>
      <w:r w:rsidR="008513D3" w:rsidRPr="000160C5">
        <w:rPr>
          <w:rFonts w:ascii="Times New Roman" w:hAnsi="Times New Roman" w:cs="Times New Roman"/>
          <w:sz w:val="28"/>
          <w:szCs w:val="28"/>
          <w:lang w:val="en-US"/>
        </w:rPr>
        <w:t>Act</w:t>
      </w:r>
      <w:r w:rsidR="008513D3" w:rsidRPr="000160C5">
        <w:rPr>
          <w:rFonts w:ascii="Times New Roman" w:hAnsi="Times New Roman" w:cs="Times New Roman"/>
          <w:sz w:val="28"/>
          <w:szCs w:val="28"/>
        </w:rPr>
        <w:t>)</w:t>
      </w:r>
      <w:r w:rsidRPr="000160C5">
        <w:rPr>
          <w:rFonts w:ascii="Times New Roman" w:hAnsi="Times New Roman" w:cs="Times New Roman"/>
          <w:sz w:val="28"/>
          <w:szCs w:val="28"/>
        </w:rPr>
        <w:t xml:space="preserve"> нацелен был, прежде всего, на защиту инвесторов от мошенничества и обмана со стороны компаний-эмитентов. Однако </w:t>
      </w:r>
      <w:r w:rsidRPr="000160C5">
        <w:rPr>
          <w:rFonts w:ascii="Times New Roman" w:hAnsi="Times New Roman" w:cs="Times New Roman"/>
          <w:sz w:val="28"/>
          <w:szCs w:val="28"/>
          <w:lang w:val="en-US"/>
        </w:rPr>
        <w:t>Robert</w:t>
      </w:r>
      <w:r w:rsidRPr="000160C5">
        <w:rPr>
          <w:rFonts w:ascii="Times New Roman" w:hAnsi="Times New Roman" w:cs="Times New Roman"/>
          <w:sz w:val="28"/>
          <w:szCs w:val="28"/>
        </w:rPr>
        <w:t xml:space="preserve"> L. </w:t>
      </w:r>
      <w:proofErr w:type="spellStart"/>
      <w:proofErr w:type="gramStart"/>
      <w:r w:rsidRPr="000160C5">
        <w:rPr>
          <w:rFonts w:ascii="Times New Roman" w:hAnsi="Times New Roman" w:cs="Times New Roman"/>
          <w:sz w:val="28"/>
          <w:szCs w:val="28"/>
          <w:lang w:val="en-US"/>
        </w:rPr>
        <w:t>Knauss</w:t>
      </w:r>
      <w:proofErr w:type="spellEnd"/>
      <w:r w:rsidRPr="000160C5">
        <w:rPr>
          <w:rFonts w:ascii="Times New Roman" w:hAnsi="Times New Roman" w:cs="Times New Roman"/>
          <w:sz w:val="28"/>
          <w:szCs w:val="28"/>
        </w:rPr>
        <w:t xml:space="preserve"> указывает, что система раскрытия информации скорее помогает инвесторам принять наиболее благоприятные инвестиционные решения, нежели защищает инвесторов от мошенничества.</w:t>
      </w:r>
      <w:proofErr w:type="gramEnd"/>
      <w:r w:rsidRPr="000160C5">
        <w:rPr>
          <w:rFonts w:ascii="Times New Roman" w:hAnsi="Times New Roman" w:cs="Times New Roman"/>
          <w:sz w:val="28"/>
          <w:szCs w:val="28"/>
        </w:rPr>
        <w:t xml:space="preserve"> </w:t>
      </w:r>
    </w:p>
    <w:p w:rsidR="009264BF" w:rsidRPr="000160C5" w:rsidRDefault="00032839"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Третьей причиной</w:t>
      </w:r>
      <w:r w:rsidR="00920759" w:rsidRPr="000160C5">
        <w:rPr>
          <w:rFonts w:ascii="Times New Roman" w:hAnsi="Times New Roman" w:cs="Times New Roman"/>
          <w:sz w:val="28"/>
          <w:szCs w:val="28"/>
        </w:rPr>
        <w:t xml:space="preserve"> необходимости государственного обеспечения раскрытия информации</w:t>
      </w:r>
      <w:r w:rsidRPr="000160C5">
        <w:rPr>
          <w:rFonts w:ascii="Times New Roman" w:hAnsi="Times New Roman" w:cs="Times New Roman"/>
          <w:sz w:val="28"/>
          <w:szCs w:val="28"/>
        </w:rPr>
        <w:t xml:space="preserve">, по мнению  профессора </w:t>
      </w:r>
      <w:r w:rsidRPr="000160C5">
        <w:rPr>
          <w:rFonts w:ascii="Times New Roman" w:hAnsi="Times New Roman" w:cs="Times New Roman"/>
          <w:sz w:val="28"/>
          <w:szCs w:val="28"/>
          <w:lang w:val="en-US"/>
        </w:rPr>
        <w:t>Robert</w:t>
      </w:r>
      <w:r w:rsidRPr="000160C5">
        <w:rPr>
          <w:rFonts w:ascii="Times New Roman" w:hAnsi="Times New Roman" w:cs="Times New Roman"/>
          <w:sz w:val="28"/>
          <w:szCs w:val="28"/>
        </w:rPr>
        <w:t xml:space="preserve"> L. </w:t>
      </w:r>
      <w:proofErr w:type="spellStart"/>
      <w:proofErr w:type="gramStart"/>
      <w:r w:rsidRPr="000160C5">
        <w:rPr>
          <w:rFonts w:ascii="Times New Roman" w:hAnsi="Times New Roman" w:cs="Times New Roman"/>
          <w:sz w:val="28"/>
          <w:szCs w:val="28"/>
          <w:lang w:val="en-US"/>
        </w:rPr>
        <w:t>Knauss</w:t>
      </w:r>
      <w:proofErr w:type="spellEnd"/>
      <w:r w:rsidRPr="000160C5">
        <w:rPr>
          <w:rFonts w:ascii="Times New Roman" w:hAnsi="Times New Roman" w:cs="Times New Roman"/>
          <w:sz w:val="28"/>
          <w:szCs w:val="28"/>
        </w:rPr>
        <w:t>, является не</w:t>
      </w:r>
      <w:r w:rsidR="00920759" w:rsidRPr="000160C5">
        <w:rPr>
          <w:rFonts w:ascii="Times New Roman" w:hAnsi="Times New Roman" w:cs="Times New Roman"/>
          <w:sz w:val="28"/>
          <w:szCs w:val="28"/>
        </w:rPr>
        <w:t xml:space="preserve">обходимость регулирования важнейших экономических центров страны, </w:t>
      </w:r>
      <w:r w:rsidR="00920759" w:rsidRPr="000160C5">
        <w:rPr>
          <w:rFonts w:ascii="Times New Roman" w:hAnsi="Times New Roman" w:cs="Times New Roman"/>
          <w:sz w:val="28"/>
          <w:szCs w:val="28"/>
        </w:rPr>
        <w:lastRenderedPageBreak/>
        <w:t xml:space="preserve">то есть крупнейших корпораций, чей доход </w:t>
      </w:r>
      <w:r w:rsidR="008872C4" w:rsidRPr="000160C5">
        <w:rPr>
          <w:rFonts w:ascii="Times New Roman" w:hAnsi="Times New Roman" w:cs="Times New Roman"/>
          <w:sz w:val="28"/>
          <w:szCs w:val="28"/>
        </w:rPr>
        <w:t xml:space="preserve">составляет значительные суммы (примером могут послужить </w:t>
      </w:r>
      <w:r w:rsidR="008872C4" w:rsidRPr="000160C5">
        <w:rPr>
          <w:rFonts w:ascii="Times New Roman" w:hAnsi="Times New Roman" w:cs="Times New Roman"/>
          <w:sz w:val="28"/>
          <w:szCs w:val="28"/>
          <w:lang w:val="en-US"/>
        </w:rPr>
        <w:t>General</w:t>
      </w:r>
      <w:r w:rsidR="008872C4" w:rsidRPr="000160C5">
        <w:rPr>
          <w:rFonts w:ascii="Times New Roman" w:hAnsi="Times New Roman" w:cs="Times New Roman"/>
          <w:sz w:val="28"/>
          <w:szCs w:val="28"/>
        </w:rPr>
        <w:t xml:space="preserve"> </w:t>
      </w:r>
      <w:r w:rsidR="008872C4" w:rsidRPr="000160C5">
        <w:rPr>
          <w:rFonts w:ascii="Times New Roman" w:hAnsi="Times New Roman" w:cs="Times New Roman"/>
          <w:sz w:val="28"/>
          <w:szCs w:val="28"/>
          <w:lang w:val="en-US"/>
        </w:rPr>
        <w:t>Motors</w:t>
      </w:r>
      <w:r w:rsidR="008872C4" w:rsidRPr="000160C5">
        <w:rPr>
          <w:rFonts w:ascii="Times New Roman" w:hAnsi="Times New Roman" w:cs="Times New Roman"/>
          <w:sz w:val="28"/>
          <w:szCs w:val="28"/>
        </w:rPr>
        <w:t xml:space="preserve">, </w:t>
      </w:r>
      <w:proofErr w:type="spellStart"/>
      <w:r w:rsidR="008872C4" w:rsidRPr="000160C5">
        <w:rPr>
          <w:rFonts w:ascii="Times New Roman" w:hAnsi="Times New Roman" w:cs="Times New Roman"/>
          <w:sz w:val="28"/>
          <w:szCs w:val="28"/>
        </w:rPr>
        <w:t>Ford</w:t>
      </w:r>
      <w:proofErr w:type="spellEnd"/>
      <w:r w:rsidR="008872C4" w:rsidRPr="000160C5">
        <w:rPr>
          <w:rFonts w:ascii="Times New Roman" w:hAnsi="Times New Roman" w:cs="Times New Roman"/>
          <w:sz w:val="28"/>
          <w:szCs w:val="28"/>
        </w:rPr>
        <w:t xml:space="preserve"> </w:t>
      </w:r>
      <w:proofErr w:type="spellStart"/>
      <w:r w:rsidR="008872C4" w:rsidRPr="000160C5">
        <w:rPr>
          <w:rFonts w:ascii="Times New Roman" w:hAnsi="Times New Roman" w:cs="Times New Roman"/>
          <w:sz w:val="28"/>
          <w:szCs w:val="28"/>
        </w:rPr>
        <w:t>Motor</w:t>
      </w:r>
      <w:proofErr w:type="spellEnd"/>
      <w:r w:rsidR="008872C4" w:rsidRPr="000160C5">
        <w:rPr>
          <w:rFonts w:ascii="Times New Roman" w:hAnsi="Times New Roman" w:cs="Times New Roman"/>
          <w:sz w:val="28"/>
          <w:szCs w:val="28"/>
        </w:rPr>
        <w:t xml:space="preserve"> </w:t>
      </w:r>
      <w:proofErr w:type="spellStart"/>
      <w:r w:rsidR="008872C4" w:rsidRPr="000160C5">
        <w:rPr>
          <w:rFonts w:ascii="Times New Roman" w:hAnsi="Times New Roman" w:cs="Times New Roman"/>
          <w:sz w:val="28"/>
          <w:szCs w:val="28"/>
        </w:rPr>
        <w:t>Company</w:t>
      </w:r>
      <w:proofErr w:type="spellEnd"/>
      <w:r w:rsidR="008872C4" w:rsidRPr="000160C5">
        <w:rPr>
          <w:rFonts w:ascii="Times New Roman" w:hAnsi="Times New Roman" w:cs="Times New Roman"/>
          <w:sz w:val="28"/>
          <w:szCs w:val="28"/>
        </w:rPr>
        <w:t>), и которые чаще всего подконтрольны менеджменту.</w:t>
      </w:r>
      <w:proofErr w:type="gramEnd"/>
      <w:r w:rsidR="008872C4" w:rsidRPr="000160C5">
        <w:rPr>
          <w:rFonts w:ascii="Times New Roman" w:hAnsi="Times New Roman" w:cs="Times New Roman"/>
          <w:sz w:val="28"/>
          <w:szCs w:val="28"/>
        </w:rPr>
        <w:t xml:space="preserve"> Раскрытие информации подобными корпорациями служит, прежде всего, интересам работников, потребителей и широко</w:t>
      </w:r>
      <w:r w:rsidR="00296F15">
        <w:rPr>
          <w:rFonts w:ascii="Times New Roman" w:hAnsi="Times New Roman" w:cs="Times New Roman"/>
          <w:sz w:val="28"/>
          <w:szCs w:val="28"/>
        </w:rPr>
        <w:t>го</w:t>
      </w:r>
      <w:r w:rsidR="008872C4" w:rsidRPr="000160C5">
        <w:rPr>
          <w:rFonts w:ascii="Times New Roman" w:hAnsi="Times New Roman" w:cs="Times New Roman"/>
          <w:sz w:val="28"/>
          <w:szCs w:val="28"/>
        </w:rPr>
        <w:t xml:space="preserve"> круг</w:t>
      </w:r>
      <w:r w:rsidR="00296F15">
        <w:rPr>
          <w:rFonts w:ascii="Times New Roman" w:hAnsi="Times New Roman" w:cs="Times New Roman"/>
          <w:sz w:val="28"/>
          <w:szCs w:val="28"/>
        </w:rPr>
        <w:t>а</w:t>
      </w:r>
      <w:r w:rsidR="008872C4" w:rsidRPr="000160C5">
        <w:rPr>
          <w:rFonts w:ascii="Times New Roman" w:hAnsi="Times New Roman" w:cs="Times New Roman"/>
          <w:sz w:val="28"/>
          <w:szCs w:val="28"/>
        </w:rPr>
        <w:t xml:space="preserve"> </w:t>
      </w:r>
      <w:r w:rsidR="004235DE">
        <w:rPr>
          <w:rFonts w:ascii="Times New Roman" w:hAnsi="Times New Roman" w:cs="Times New Roman"/>
          <w:sz w:val="28"/>
          <w:szCs w:val="28"/>
        </w:rPr>
        <w:t>лиц</w:t>
      </w:r>
      <w:r w:rsidR="008872C4" w:rsidRPr="000160C5">
        <w:rPr>
          <w:rFonts w:ascii="Times New Roman" w:hAnsi="Times New Roman" w:cs="Times New Roman"/>
          <w:sz w:val="28"/>
          <w:szCs w:val="28"/>
        </w:rPr>
        <w:t xml:space="preserve">. </w:t>
      </w:r>
    </w:p>
    <w:p w:rsidR="00412147" w:rsidRPr="000160C5" w:rsidRDefault="009264BF"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Необходимость государственного регулирования </w:t>
      </w:r>
      <w:r w:rsidR="00A93254" w:rsidRPr="000160C5">
        <w:rPr>
          <w:rFonts w:ascii="Times New Roman" w:hAnsi="Times New Roman" w:cs="Times New Roman"/>
          <w:sz w:val="28"/>
          <w:szCs w:val="28"/>
        </w:rPr>
        <w:t xml:space="preserve">раскрытия информации на рынке ценных бумаг </w:t>
      </w:r>
      <w:r w:rsidRPr="000160C5">
        <w:rPr>
          <w:rFonts w:ascii="Times New Roman" w:hAnsi="Times New Roman" w:cs="Times New Roman"/>
          <w:sz w:val="28"/>
          <w:szCs w:val="28"/>
        </w:rPr>
        <w:t xml:space="preserve">подтверждается в </w:t>
      </w:r>
      <w:proofErr w:type="gramStart"/>
      <w:r w:rsidRPr="000160C5">
        <w:rPr>
          <w:rFonts w:ascii="Times New Roman" w:hAnsi="Times New Roman" w:cs="Times New Roman"/>
          <w:sz w:val="28"/>
          <w:szCs w:val="28"/>
        </w:rPr>
        <w:t>выше указанном</w:t>
      </w:r>
      <w:proofErr w:type="gramEnd"/>
      <w:r w:rsidRPr="000160C5">
        <w:rPr>
          <w:rFonts w:ascii="Times New Roman" w:hAnsi="Times New Roman" w:cs="Times New Roman"/>
          <w:sz w:val="28"/>
          <w:szCs w:val="28"/>
        </w:rPr>
        <w:t xml:space="preserve"> исследовании </w:t>
      </w:r>
      <w:proofErr w:type="spellStart"/>
      <w:r w:rsidRPr="000160C5">
        <w:rPr>
          <w:rFonts w:ascii="Times New Roman" w:hAnsi="Times New Roman" w:cs="Times New Roman"/>
          <w:sz w:val="28"/>
          <w:szCs w:val="28"/>
        </w:rPr>
        <w:t>What</w:t>
      </w:r>
      <w:proofErr w:type="spellEnd"/>
      <w:r w:rsidRPr="000160C5">
        <w:rPr>
          <w:rFonts w:ascii="Times New Roman" w:hAnsi="Times New Roman" w:cs="Times New Roman"/>
          <w:sz w:val="28"/>
          <w:szCs w:val="28"/>
        </w:rPr>
        <w:t xml:space="preserve"> </w:t>
      </w:r>
      <w:proofErr w:type="spellStart"/>
      <w:r w:rsidRPr="000160C5">
        <w:rPr>
          <w:rFonts w:ascii="Times New Roman" w:hAnsi="Times New Roman" w:cs="Times New Roman"/>
          <w:sz w:val="28"/>
          <w:szCs w:val="28"/>
        </w:rPr>
        <w:t>Works</w:t>
      </w:r>
      <w:proofErr w:type="spellEnd"/>
      <w:r w:rsidRPr="000160C5">
        <w:rPr>
          <w:rFonts w:ascii="Times New Roman" w:hAnsi="Times New Roman" w:cs="Times New Roman"/>
          <w:sz w:val="28"/>
          <w:szCs w:val="28"/>
        </w:rPr>
        <w:t xml:space="preserve"> </w:t>
      </w:r>
      <w:proofErr w:type="spellStart"/>
      <w:r w:rsidRPr="000160C5">
        <w:rPr>
          <w:rFonts w:ascii="Times New Roman" w:hAnsi="Times New Roman" w:cs="Times New Roman"/>
          <w:sz w:val="28"/>
          <w:szCs w:val="28"/>
        </w:rPr>
        <w:t>in</w:t>
      </w:r>
      <w:proofErr w:type="spellEnd"/>
      <w:r w:rsidRPr="000160C5">
        <w:rPr>
          <w:rFonts w:ascii="Times New Roman" w:hAnsi="Times New Roman" w:cs="Times New Roman"/>
          <w:sz w:val="28"/>
          <w:szCs w:val="28"/>
        </w:rPr>
        <w:t xml:space="preserve"> </w:t>
      </w:r>
      <w:proofErr w:type="spellStart"/>
      <w:r w:rsidRPr="000160C5">
        <w:rPr>
          <w:rFonts w:ascii="Times New Roman" w:hAnsi="Times New Roman" w:cs="Times New Roman"/>
          <w:sz w:val="28"/>
          <w:szCs w:val="28"/>
        </w:rPr>
        <w:t>Securities</w:t>
      </w:r>
      <w:proofErr w:type="spellEnd"/>
      <w:r w:rsidRPr="000160C5">
        <w:rPr>
          <w:rFonts w:ascii="Times New Roman" w:hAnsi="Times New Roman" w:cs="Times New Roman"/>
          <w:sz w:val="28"/>
          <w:szCs w:val="28"/>
        </w:rPr>
        <w:t xml:space="preserve"> </w:t>
      </w:r>
      <w:proofErr w:type="spellStart"/>
      <w:r w:rsidRPr="000160C5">
        <w:rPr>
          <w:rFonts w:ascii="Times New Roman" w:hAnsi="Times New Roman" w:cs="Times New Roman"/>
          <w:sz w:val="28"/>
          <w:szCs w:val="28"/>
        </w:rPr>
        <w:t>Laws</w:t>
      </w:r>
      <w:proofErr w:type="spellEnd"/>
      <w:r w:rsidRPr="000160C5">
        <w:rPr>
          <w:rFonts w:ascii="Times New Roman" w:hAnsi="Times New Roman" w:cs="Times New Roman"/>
          <w:sz w:val="28"/>
          <w:szCs w:val="28"/>
        </w:rPr>
        <w:t xml:space="preserve">?, базирующемся на изучении </w:t>
      </w:r>
      <w:r w:rsidR="00880706" w:rsidRPr="000160C5">
        <w:rPr>
          <w:rFonts w:ascii="Times New Roman" w:hAnsi="Times New Roman" w:cs="Times New Roman"/>
          <w:sz w:val="28"/>
          <w:szCs w:val="28"/>
        </w:rPr>
        <w:t xml:space="preserve">опыта </w:t>
      </w:r>
      <w:r w:rsidRPr="000160C5">
        <w:rPr>
          <w:rFonts w:ascii="Times New Roman" w:hAnsi="Times New Roman" w:cs="Times New Roman"/>
          <w:sz w:val="28"/>
          <w:szCs w:val="28"/>
        </w:rPr>
        <w:t>50 стран и принятых в них моделях регулирования</w:t>
      </w:r>
      <w:r w:rsidR="00880706" w:rsidRPr="000160C5">
        <w:rPr>
          <w:rFonts w:ascii="Times New Roman" w:hAnsi="Times New Roman" w:cs="Times New Roman"/>
          <w:sz w:val="28"/>
          <w:szCs w:val="28"/>
        </w:rPr>
        <w:t xml:space="preserve"> раскрытия информации</w:t>
      </w:r>
      <w:r w:rsidRPr="000160C5">
        <w:rPr>
          <w:rFonts w:ascii="Times New Roman" w:hAnsi="Times New Roman" w:cs="Times New Roman"/>
          <w:sz w:val="28"/>
          <w:szCs w:val="28"/>
        </w:rPr>
        <w:t xml:space="preserve"> </w:t>
      </w:r>
      <w:r w:rsidR="00880706" w:rsidRPr="000160C5">
        <w:rPr>
          <w:rFonts w:ascii="Times New Roman" w:hAnsi="Times New Roman" w:cs="Times New Roman"/>
          <w:sz w:val="28"/>
          <w:szCs w:val="28"/>
        </w:rPr>
        <w:t xml:space="preserve">на </w:t>
      </w:r>
      <w:r w:rsidRPr="000160C5">
        <w:rPr>
          <w:rFonts w:ascii="Times New Roman" w:hAnsi="Times New Roman" w:cs="Times New Roman"/>
          <w:sz w:val="28"/>
          <w:szCs w:val="28"/>
        </w:rPr>
        <w:t>рынк</w:t>
      </w:r>
      <w:r w:rsidR="00880706" w:rsidRPr="000160C5">
        <w:rPr>
          <w:rFonts w:ascii="Times New Roman" w:hAnsi="Times New Roman" w:cs="Times New Roman"/>
          <w:sz w:val="28"/>
          <w:szCs w:val="28"/>
        </w:rPr>
        <w:t>е</w:t>
      </w:r>
      <w:r w:rsidRPr="000160C5">
        <w:rPr>
          <w:rFonts w:ascii="Times New Roman" w:hAnsi="Times New Roman" w:cs="Times New Roman"/>
          <w:sz w:val="28"/>
          <w:szCs w:val="28"/>
        </w:rPr>
        <w:t xml:space="preserve"> ценных бумаг.  </w:t>
      </w:r>
      <w:r w:rsidR="00412147" w:rsidRPr="000160C5">
        <w:rPr>
          <w:rFonts w:ascii="Times New Roman" w:hAnsi="Times New Roman" w:cs="Times New Roman"/>
          <w:sz w:val="28"/>
          <w:szCs w:val="28"/>
        </w:rPr>
        <w:t xml:space="preserve"> </w:t>
      </w:r>
    </w:p>
    <w:p w:rsidR="00F97B0E" w:rsidRPr="000160C5" w:rsidRDefault="00F97B0E"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Стоит отметить, что государственно</w:t>
      </w:r>
      <w:r w:rsidR="00E21088" w:rsidRPr="000160C5">
        <w:rPr>
          <w:rFonts w:ascii="Times New Roman" w:hAnsi="Times New Roman" w:cs="Times New Roman"/>
          <w:sz w:val="28"/>
          <w:szCs w:val="28"/>
        </w:rPr>
        <w:t>е</w:t>
      </w:r>
      <w:r w:rsidRPr="000160C5">
        <w:rPr>
          <w:rFonts w:ascii="Times New Roman" w:hAnsi="Times New Roman" w:cs="Times New Roman"/>
          <w:sz w:val="28"/>
          <w:szCs w:val="28"/>
        </w:rPr>
        <w:t xml:space="preserve"> регулировани</w:t>
      </w:r>
      <w:r w:rsidR="00E21088" w:rsidRPr="000160C5">
        <w:rPr>
          <w:rFonts w:ascii="Times New Roman" w:hAnsi="Times New Roman" w:cs="Times New Roman"/>
          <w:sz w:val="28"/>
          <w:szCs w:val="28"/>
        </w:rPr>
        <w:t>е</w:t>
      </w:r>
      <w:r w:rsidRPr="000160C5">
        <w:rPr>
          <w:rFonts w:ascii="Times New Roman" w:hAnsi="Times New Roman" w:cs="Times New Roman"/>
          <w:sz w:val="28"/>
          <w:szCs w:val="28"/>
        </w:rPr>
        <w:t xml:space="preserve"> раскрытия информации </w:t>
      </w:r>
      <w:r w:rsidR="00E21088" w:rsidRPr="000160C5">
        <w:rPr>
          <w:rFonts w:ascii="Times New Roman" w:hAnsi="Times New Roman" w:cs="Times New Roman"/>
          <w:sz w:val="28"/>
          <w:szCs w:val="28"/>
        </w:rPr>
        <w:t xml:space="preserve">не является единственным рычагом воздействия на эмитентов: например, </w:t>
      </w:r>
      <w:r w:rsidRPr="000160C5">
        <w:rPr>
          <w:rFonts w:ascii="Times New Roman" w:hAnsi="Times New Roman" w:cs="Times New Roman"/>
          <w:sz w:val="28"/>
          <w:szCs w:val="28"/>
        </w:rPr>
        <w:t>в странах ОЭСР компании, не довольствуясь минимальными требованиями к раскрытию информации, часто добровольно предоставляют о себе информацию в ответ на требовани</w:t>
      </w:r>
      <w:r w:rsidR="00E21088" w:rsidRPr="000160C5">
        <w:rPr>
          <w:rFonts w:ascii="Times New Roman" w:hAnsi="Times New Roman" w:cs="Times New Roman"/>
          <w:sz w:val="28"/>
          <w:szCs w:val="28"/>
        </w:rPr>
        <w:t>я</w:t>
      </w:r>
      <w:r w:rsidRPr="000160C5">
        <w:rPr>
          <w:rFonts w:ascii="Times New Roman" w:hAnsi="Times New Roman" w:cs="Times New Roman"/>
          <w:sz w:val="28"/>
          <w:szCs w:val="28"/>
        </w:rPr>
        <w:t xml:space="preserve"> рынка.</w:t>
      </w:r>
      <w:r w:rsidR="00880706" w:rsidRPr="000160C5">
        <w:rPr>
          <w:rFonts w:ascii="Times New Roman" w:hAnsi="Times New Roman" w:cs="Times New Roman"/>
          <w:sz w:val="28"/>
          <w:szCs w:val="28"/>
        </w:rPr>
        <w:t xml:space="preserve"> </w:t>
      </w:r>
      <w:r w:rsidR="00E21088" w:rsidRPr="000160C5">
        <w:rPr>
          <w:rFonts w:ascii="Times New Roman" w:hAnsi="Times New Roman" w:cs="Times New Roman"/>
          <w:sz w:val="28"/>
          <w:szCs w:val="28"/>
        </w:rPr>
        <w:t xml:space="preserve">Таким образом, </w:t>
      </w:r>
      <w:r w:rsidR="00296F15">
        <w:rPr>
          <w:rFonts w:ascii="Times New Roman" w:hAnsi="Times New Roman" w:cs="Times New Roman"/>
          <w:sz w:val="28"/>
          <w:szCs w:val="28"/>
        </w:rPr>
        <w:t xml:space="preserve">уровень информационной прозрачности в этих странах напрямую </w:t>
      </w:r>
      <w:r w:rsidR="00DC144F">
        <w:rPr>
          <w:rFonts w:ascii="Times New Roman" w:hAnsi="Times New Roman" w:cs="Times New Roman"/>
          <w:sz w:val="28"/>
          <w:szCs w:val="28"/>
        </w:rPr>
        <w:t xml:space="preserve">зависит </w:t>
      </w:r>
      <w:r w:rsidR="00296F15">
        <w:rPr>
          <w:rFonts w:ascii="Times New Roman" w:hAnsi="Times New Roman" w:cs="Times New Roman"/>
          <w:sz w:val="28"/>
          <w:szCs w:val="28"/>
        </w:rPr>
        <w:t xml:space="preserve">не только от </w:t>
      </w:r>
      <w:r w:rsidR="00E21088" w:rsidRPr="000160C5">
        <w:rPr>
          <w:rFonts w:ascii="Times New Roman" w:hAnsi="Times New Roman" w:cs="Times New Roman"/>
          <w:sz w:val="28"/>
          <w:szCs w:val="28"/>
        </w:rPr>
        <w:t>нормативно установленны</w:t>
      </w:r>
      <w:r w:rsidR="00296F15">
        <w:rPr>
          <w:rFonts w:ascii="Times New Roman" w:hAnsi="Times New Roman" w:cs="Times New Roman"/>
          <w:sz w:val="28"/>
          <w:szCs w:val="28"/>
        </w:rPr>
        <w:t>х</w:t>
      </w:r>
      <w:r w:rsidR="00E21088" w:rsidRPr="000160C5">
        <w:rPr>
          <w:rFonts w:ascii="Times New Roman" w:hAnsi="Times New Roman" w:cs="Times New Roman"/>
          <w:sz w:val="28"/>
          <w:szCs w:val="28"/>
        </w:rPr>
        <w:t xml:space="preserve"> </w:t>
      </w:r>
      <w:r w:rsidR="004235DE">
        <w:rPr>
          <w:rFonts w:ascii="Times New Roman" w:hAnsi="Times New Roman" w:cs="Times New Roman"/>
          <w:sz w:val="28"/>
          <w:szCs w:val="28"/>
        </w:rPr>
        <w:t>требовани</w:t>
      </w:r>
      <w:r w:rsidR="00296F15">
        <w:rPr>
          <w:rFonts w:ascii="Times New Roman" w:hAnsi="Times New Roman" w:cs="Times New Roman"/>
          <w:sz w:val="28"/>
          <w:szCs w:val="28"/>
        </w:rPr>
        <w:t>й</w:t>
      </w:r>
      <w:r w:rsidR="00E21088" w:rsidRPr="000160C5">
        <w:rPr>
          <w:rFonts w:ascii="Times New Roman" w:hAnsi="Times New Roman" w:cs="Times New Roman"/>
          <w:sz w:val="28"/>
          <w:szCs w:val="28"/>
        </w:rPr>
        <w:t xml:space="preserve"> и правил, но и, в том числе, </w:t>
      </w:r>
      <w:r w:rsidR="00296F15">
        <w:rPr>
          <w:rFonts w:ascii="Times New Roman" w:hAnsi="Times New Roman" w:cs="Times New Roman"/>
          <w:sz w:val="28"/>
          <w:szCs w:val="28"/>
        </w:rPr>
        <w:t xml:space="preserve">от </w:t>
      </w:r>
      <w:r w:rsidR="00E21088" w:rsidRPr="000160C5">
        <w:rPr>
          <w:rFonts w:ascii="Times New Roman" w:hAnsi="Times New Roman" w:cs="Times New Roman"/>
          <w:sz w:val="28"/>
          <w:szCs w:val="28"/>
        </w:rPr>
        <w:t>осознани</w:t>
      </w:r>
      <w:r w:rsidR="00296F15">
        <w:rPr>
          <w:rFonts w:ascii="Times New Roman" w:hAnsi="Times New Roman" w:cs="Times New Roman"/>
          <w:sz w:val="28"/>
          <w:szCs w:val="28"/>
        </w:rPr>
        <w:t>я</w:t>
      </w:r>
      <w:r w:rsidR="00E21088" w:rsidRPr="000160C5">
        <w:rPr>
          <w:rFonts w:ascii="Times New Roman" w:hAnsi="Times New Roman" w:cs="Times New Roman"/>
          <w:sz w:val="28"/>
          <w:szCs w:val="28"/>
        </w:rPr>
        <w:t xml:space="preserve"> эмитентами социальной ответственности перед своими инвесторами. </w:t>
      </w:r>
      <w:r w:rsidRPr="000160C5">
        <w:rPr>
          <w:rFonts w:ascii="Times New Roman" w:hAnsi="Times New Roman" w:cs="Times New Roman"/>
          <w:sz w:val="28"/>
          <w:szCs w:val="28"/>
        </w:rPr>
        <w:t xml:space="preserve"> </w:t>
      </w:r>
    </w:p>
    <w:p w:rsidR="00032839" w:rsidRPr="000160C5" w:rsidRDefault="00652B3E"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Родиной раскрытия информации являются США. Впервые о необходимости полного раскрытия информации было освещено в книге американского судьи </w:t>
      </w:r>
      <w:r w:rsidRPr="000160C5">
        <w:rPr>
          <w:rFonts w:ascii="Times New Roman" w:hAnsi="Times New Roman" w:cs="Times New Roman"/>
          <w:sz w:val="28"/>
          <w:szCs w:val="28"/>
          <w:lang w:val="en-US"/>
        </w:rPr>
        <w:t>Louise</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D</w:t>
      </w:r>
      <w:r w:rsidRPr="000160C5">
        <w:rPr>
          <w:rFonts w:ascii="Times New Roman" w:hAnsi="Times New Roman" w:cs="Times New Roman"/>
          <w:sz w:val="28"/>
          <w:szCs w:val="28"/>
        </w:rPr>
        <w:t xml:space="preserve">. </w:t>
      </w:r>
      <w:proofErr w:type="gramStart"/>
      <w:r w:rsidRPr="000160C5">
        <w:rPr>
          <w:rFonts w:ascii="Times New Roman" w:hAnsi="Times New Roman" w:cs="Times New Roman"/>
          <w:sz w:val="28"/>
          <w:szCs w:val="28"/>
          <w:lang w:val="en-US"/>
        </w:rPr>
        <w:t>Brandeis</w:t>
      </w:r>
      <w:r w:rsidRPr="000160C5">
        <w:rPr>
          <w:rFonts w:ascii="Times New Roman" w:hAnsi="Times New Roman" w:cs="Times New Roman"/>
          <w:sz w:val="28"/>
          <w:szCs w:val="28"/>
        </w:rPr>
        <w:t xml:space="preserve"> </w:t>
      </w:r>
      <w:r w:rsidR="00A93254" w:rsidRPr="000160C5">
        <w:rPr>
          <w:rFonts w:ascii="Times New Roman" w:hAnsi="Times New Roman" w:cs="Times New Roman"/>
          <w:sz w:val="28"/>
          <w:szCs w:val="28"/>
        </w:rPr>
        <w:t>«</w:t>
      </w:r>
      <w:r w:rsidRPr="000160C5">
        <w:rPr>
          <w:rFonts w:ascii="Times New Roman" w:hAnsi="Times New Roman" w:cs="Times New Roman"/>
          <w:sz w:val="28"/>
          <w:szCs w:val="28"/>
          <w:lang w:val="en-US"/>
        </w:rPr>
        <w:t>Other</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People</w:t>
      </w:r>
      <w:r w:rsidRPr="000160C5">
        <w:rPr>
          <w:rFonts w:ascii="Times New Roman" w:hAnsi="Times New Roman" w:cs="Times New Roman"/>
          <w:sz w:val="28"/>
          <w:szCs w:val="28"/>
        </w:rPr>
        <w:t>’</w:t>
      </w:r>
      <w:r w:rsidRPr="000160C5">
        <w:rPr>
          <w:rFonts w:ascii="Times New Roman" w:hAnsi="Times New Roman" w:cs="Times New Roman"/>
          <w:sz w:val="28"/>
          <w:szCs w:val="28"/>
          <w:lang w:val="en-US"/>
        </w:rPr>
        <w:t>s</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Money</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and</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How</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the</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Bankers</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Use</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It</w:t>
      </w:r>
      <w:r w:rsidR="00A93254" w:rsidRPr="000160C5">
        <w:rPr>
          <w:rFonts w:ascii="Times New Roman" w:hAnsi="Times New Roman" w:cs="Times New Roman"/>
          <w:sz w:val="28"/>
          <w:szCs w:val="28"/>
        </w:rPr>
        <w:t>»</w:t>
      </w:r>
      <w:r w:rsidRPr="000160C5">
        <w:rPr>
          <w:rFonts w:ascii="Times New Roman" w:hAnsi="Times New Roman" w:cs="Times New Roman"/>
          <w:sz w:val="28"/>
          <w:szCs w:val="28"/>
        </w:rPr>
        <w:t>, вышедшей в свет в 1914 году.</w:t>
      </w:r>
      <w:proofErr w:type="gramEnd"/>
      <w:r w:rsidRPr="000160C5">
        <w:rPr>
          <w:rFonts w:ascii="Times New Roman" w:hAnsi="Times New Roman" w:cs="Times New Roman"/>
          <w:sz w:val="28"/>
          <w:szCs w:val="28"/>
        </w:rPr>
        <w:t xml:space="preserve"> Позже Франклин Делано Рузвельт использовал предложенные судьей аргументы в пользу необходимости раскрытия ин</w:t>
      </w:r>
      <w:r w:rsidR="004235DE">
        <w:rPr>
          <w:rFonts w:ascii="Times New Roman" w:hAnsi="Times New Roman" w:cs="Times New Roman"/>
          <w:sz w:val="28"/>
          <w:szCs w:val="28"/>
        </w:rPr>
        <w:t>формации в своей предвыборной ка</w:t>
      </w:r>
      <w:r w:rsidR="000D7170">
        <w:rPr>
          <w:rFonts w:ascii="Times New Roman" w:hAnsi="Times New Roman" w:cs="Times New Roman"/>
          <w:sz w:val="28"/>
          <w:szCs w:val="28"/>
        </w:rPr>
        <w:t xml:space="preserve">мпании </w:t>
      </w:r>
      <w:r w:rsidR="00DC144F">
        <w:rPr>
          <w:rFonts w:ascii="Times New Roman" w:hAnsi="Times New Roman" w:cs="Times New Roman"/>
          <w:sz w:val="28"/>
          <w:szCs w:val="28"/>
        </w:rPr>
        <w:t>после биржевого краха 1929 года</w:t>
      </w:r>
      <w:r w:rsidRPr="000160C5">
        <w:rPr>
          <w:rFonts w:ascii="Times New Roman" w:hAnsi="Times New Roman" w:cs="Times New Roman"/>
          <w:sz w:val="28"/>
          <w:szCs w:val="28"/>
        </w:rPr>
        <w:t xml:space="preserve">. </w:t>
      </w:r>
    </w:p>
    <w:p w:rsidR="002B01CD" w:rsidRDefault="00DA73EB"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Организация экономического сотрудничества и развития (далее – ОЭСР)</w:t>
      </w:r>
      <w:r w:rsidR="002B01CD" w:rsidRPr="000160C5">
        <w:rPr>
          <w:rFonts w:ascii="Times New Roman" w:hAnsi="Times New Roman" w:cs="Times New Roman"/>
          <w:sz w:val="28"/>
          <w:szCs w:val="28"/>
        </w:rPr>
        <w:t xml:space="preserve"> </w:t>
      </w:r>
      <w:r w:rsidR="0079410F" w:rsidRPr="000160C5">
        <w:rPr>
          <w:rFonts w:ascii="Times New Roman" w:hAnsi="Times New Roman" w:cs="Times New Roman"/>
          <w:sz w:val="28"/>
          <w:szCs w:val="28"/>
        </w:rPr>
        <w:t xml:space="preserve">рекомендует странам-участницам организации обеспечить </w:t>
      </w:r>
      <w:r w:rsidR="00947C8C" w:rsidRPr="000160C5">
        <w:rPr>
          <w:rFonts w:ascii="Times New Roman" w:hAnsi="Times New Roman" w:cs="Times New Roman"/>
          <w:sz w:val="28"/>
          <w:szCs w:val="28"/>
        </w:rPr>
        <w:t xml:space="preserve">механизм своевременного и эффективного раскрытия информации </w:t>
      </w:r>
      <w:r w:rsidR="00EE0AB2" w:rsidRPr="000160C5">
        <w:rPr>
          <w:rFonts w:ascii="Times New Roman" w:hAnsi="Times New Roman" w:cs="Times New Roman"/>
          <w:sz w:val="28"/>
          <w:szCs w:val="28"/>
        </w:rPr>
        <w:t>в качестве одного</w:t>
      </w:r>
      <w:r w:rsidR="00947C8C" w:rsidRPr="000160C5">
        <w:rPr>
          <w:rFonts w:ascii="Times New Roman" w:hAnsi="Times New Roman" w:cs="Times New Roman"/>
          <w:sz w:val="28"/>
          <w:szCs w:val="28"/>
        </w:rPr>
        <w:t xml:space="preserve"> из </w:t>
      </w:r>
      <w:r w:rsidR="00947C8C" w:rsidRPr="000160C5">
        <w:rPr>
          <w:rFonts w:ascii="Times New Roman" w:hAnsi="Times New Roman" w:cs="Times New Roman"/>
          <w:sz w:val="28"/>
          <w:szCs w:val="28"/>
        </w:rPr>
        <w:lastRenderedPageBreak/>
        <w:t>инструментов эффективного корпоративного управления</w:t>
      </w:r>
      <w:r w:rsidR="00947C8C" w:rsidRPr="000160C5">
        <w:rPr>
          <w:rStyle w:val="a9"/>
          <w:rFonts w:ascii="Times New Roman" w:hAnsi="Times New Roman" w:cs="Times New Roman"/>
          <w:sz w:val="28"/>
          <w:szCs w:val="28"/>
        </w:rPr>
        <w:footnoteReference w:id="5"/>
      </w:r>
      <w:r w:rsidR="00947C8C" w:rsidRPr="000160C5">
        <w:rPr>
          <w:rFonts w:ascii="Times New Roman" w:hAnsi="Times New Roman" w:cs="Times New Roman"/>
          <w:sz w:val="28"/>
          <w:szCs w:val="28"/>
        </w:rPr>
        <w:t xml:space="preserve">. </w:t>
      </w:r>
      <w:r w:rsidR="00EE0AB2" w:rsidRPr="000160C5">
        <w:rPr>
          <w:rFonts w:ascii="Times New Roman" w:hAnsi="Times New Roman" w:cs="Times New Roman"/>
          <w:sz w:val="28"/>
          <w:szCs w:val="28"/>
        </w:rPr>
        <w:t xml:space="preserve">Согласно Принципам корпоративного управления, строгий режим раскрытия информации </w:t>
      </w:r>
      <w:r w:rsidR="004235DE">
        <w:rPr>
          <w:rFonts w:ascii="Times New Roman" w:hAnsi="Times New Roman" w:cs="Times New Roman"/>
          <w:sz w:val="28"/>
          <w:szCs w:val="28"/>
        </w:rPr>
        <w:t>способствует</w:t>
      </w:r>
      <w:r w:rsidR="00EE0AB2" w:rsidRPr="000160C5">
        <w:rPr>
          <w:rFonts w:ascii="Times New Roman" w:hAnsi="Times New Roman" w:cs="Times New Roman"/>
          <w:sz w:val="28"/>
          <w:szCs w:val="28"/>
        </w:rPr>
        <w:t xml:space="preserve"> привлечени</w:t>
      </w:r>
      <w:r w:rsidR="004235DE">
        <w:rPr>
          <w:rFonts w:ascii="Times New Roman" w:hAnsi="Times New Roman" w:cs="Times New Roman"/>
          <w:sz w:val="28"/>
          <w:szCs w:val="28"/>
        </w:rPr>
        <w:t>ю</w:t>
      </w:r>
      <w:r w:rsidR="00EE0AB2" w:rsidRPr="000160C5">
        <w:rPr>
          <w:rFonts w:ascii="Times New Roman" w:hAnsi="Times New Roman" w:cs="Times New Roman"/>
          <w:sz w:val="28"/>
          <w:szCs w:val="28"/>
        </w:rPr>
        <w:t xml:space="preserve"> капитала и поддержани</w:t>
      </w:r>
      <w:r w:rsidR="004235DE">
        <w:rPr>
          <w:rFonts w:ascii="Times New Roman" w:hAnsi="Times New Roman" w:cs="Times New Roman"/>
          <w:sz w:val="28"/>
          <w:szCs w:val="28"/>
        </w:rPr>
        <w:t>ю</w:t>
      </w:r>
      <w:r w:rsidR="00EE0AB2" w:rsidRPr="000160C5">
        <w:rPr>
          <w:rFonts w:ascii="Times New Roman" w:hAnsi="Times New Roman" w:cs="Times New Roman"/>
          <w:sz w:val="28"/>
          <w:szCs w:val="28"/>
        </w:rPr>
        <w:t xml:space="preserve"> доверия к фондовым рынкам. Недостаточная или </w:t>
      </w:r>
      <w:r w:rsidR="004235DE">
        <w:rPr>
          <w:rFonts w:ascii="Times New Roman" w:hAnsi="Times New Roman" w:cs="Times New Roman"/>
          <w:sz w:val="28"/>
          <w:szCs w:val="28"/>
        </w:rPr>
        <w:t>неточная</w:t>
      </w:r>
      <w:r w:rsidR="00EE0AB2" w:rsidRPr="000160C5">
        <w:rPr>
          <w:rFonts w:ascii="Times New Roman" w:hAnsi="Times New Roman" w:cs="Times New Roman"/>
          <w:sz w:val="28"/>
          <w:szCs w:val="28"/>
        </w:rPr>
        <w:t xml:space="preserve"> информация может ухудшить функционирование рынка, повысить стоимость капитала и привести к ненормальному распределению ресурсов.</w:t>
      </w:r>
    </w:p>
    <w:p w:rsidR="004235DE" w:rsidRPr="000160C5" w:rsidRDefault="004235DE" w:rsidP="005901E8">
      <w:pPr>
        <w:keepNext/>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исходя из выше сказанного, очевидна необходимость раскрытия информации </w:t>
      </w:r>
      <w:r w:rsidR="00801CC8">
        <w:rPr>
          <w:rFonts w:ascii="Times New Roman" w:hAnsi="Times New Roman" w:cs="Times New Roman"/>
          <w:sz w:val="28"/>
          <w:szCs w:val="28"/>
        </w:rPr>
        <w:t xml:space="preserve">на рынке ценных бумаг </w:t>
      </w:r>
      <w:r>
        <w:rPr>
          <w:rFonts w:ascii="Times New Roman" w:hAnsi="Times New Roman" w:cs="Times New Roman"/>
          <w:sz w:val="28"/>
          <w:szCs w:val="28"/>
        </w:rPr>
        <w:t xml:space="preserve">для достижения многих целей, как-то: защита </w:t>
      </w:r>
      <w:r w:rsidR="006E5693">
        <w:rPr>
          <w:rFonts w:ascii="Times New Roman" w:hAnsi="Times New Roman" w:cs="Times New Roman"/>
          <w:sz w:val="28"/>
          <w:szCs w:val="28"/>
        </w:rPr>
        <w:t xml:space="preserve">интересов </w:t>
      </w:r>
      <w:r>
        <w:rPr>
          <w:rFonts w:ascii="Times New Roman" w:hAnsi="Times New Roman" w:cs="Times New Roman"/>
          <w:sz w:val="28"/>
          <w:szCs w:val="28"/>
        </w:rPr>
        <w:t xml:space="preserve">инвестора, стабильность финансового рынка, эффективность корпоративного управления и защита публичного интереса в экономической </w:t>
      </w:r>
      <w:r w:rsidR="006E5693">
        <w:rPr>
          <w:rFonts w:ascii="Times New Roman" w:hAnsi="Times New Roman" w:cs="Times New Roman"/>
          <w:sz w:val="28"/>
          <w:szCs w:val="28"/>
        </w:rPr>
        <w:t>стабильности</w:t>
      </w:r>
      <w:r>
        <w:rPr>
          <w:rFonts w:ascii="Times New Roman" w:hAnsi="Times New Roman" w:cs="Times New Roman"/>
          <w:sz w:val="28"/>
          <w:szCs w:val="28"/>
        </w:rPr>
        <w:t xml:space="preserve">. </w:t>
      </w:r>
    </w:p>
    <w:p w:rsidR="00F95D55" w:rsidRPr="000160C5" w:rsidRDefault="00801CC8" w:rsidP="005901E8">
      <w:pPr>
        <w:keepNext/>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Касательно понятия раскрытия информации стоит отметить, что з</w:t>
      </w:r>
      <w:r w:rsidR="00282B60" w:rsidRPr="000160C5">
        <w:rPr>
          <w:rFonts w:ascii="Times New Roman" w:hAnsi="Times New Roman" w:cs="Times New Roman"/>
          <w:sz w:val="28"/>
          <w:szCs w:val="28"/>
        </w:rPr>
        <w:t xml:space="preserve">аконодательство США не содержит легального определения раскрытия информации. Однако </w:t>
      </w:r>
      <w:r w:rsidR="008513D3" w:rsidRPr="000160C5">
        <w:rPr>
          <w:rFonts w:ascii="Times New Roman" w:hAnsi="Times New Roman" w:cs="Times New Roman"/>
          <w:sz w:val="28"/>
          <w:szCs w:val="28"/>
        </w:rPr>
        <w:t>З</w:t>
      </w:r>
      <w:r w:rsidR="00282B60" w:rsidRPr="000160C5">
        <w:rPr>
          <w:rFonts w:ascii="Times New Roman" w:hAnsi="Times New Roman" w:cs="Times New Roman"/>
          <w:sz w:val="28"/>
          <w:szCs w:val="28"/>
        </w:rPr>
        <w:t xml:space="preserve">акон о ценных бумагах 1933 года </w:t>
      </w:r>
      <w:r w:rsidR="00263A90" w:rsidRPr="000160C5">
        <w:rPr>
          <w:rFonts w:ascii="Times New Roman" w:hAnsi="Times New Roman" w:cs="Times New Roman"/>
          <w:sz w:val="28"/>
          <w:szCs w:val="28"/>
        </w:rPr>
        <w:t>базируется</w:t>
      </w:r>
      <w:r w:rsidR="00282B60" w:rsidRPr="000160C5">
        <w:rPr>
          <w:rFonts w:ascii="Times New Roman" w:hAnsi="Times New Roman" w:cs="Times New Roman"/>
          <w:sz w:val="28"/>
          <w:szCs w:val="28"/>
        </w:rPr>
        <w:t xml:space="preserve"> на </w:t>
      </w:r>
      <w:r w:rsidR="00263A90" w:rsidRPr="000160C5">
        <w:rPr>
          <w:rFonts w:ascii="Times New Roman" w:hAnsi="Times New Roman" w:cs="Times New Roman"/>
          <w:sz w:val="28"/>
          <w:szCs w:val="28"/>
        </w:rPr>
        <w:t>главенствующем</w:t>
      </w:r>
      <w:r w:rsidR="00282B60" w:rsidRPr="000160C5">
        <w:rPr>
          <w:rFonts w:ascii="Times New Roman" w:hAnsi="Times New Roman" w:cs="Times New Roman"/>
          <w:sz w:val="28"/>
          <w:szCs w:val="28"/>
        </w:rPr>
        <w:t xml:space="preserve"> принципе раскрытия</w:t>
      </w:r>
      <w:r w:rsidR="00880706" w:rsidRPr="000160C5">
        <w:rPr>
          <w:rFonts w:ascii="Times New Roman" w:hAnsi="Times New Roman" w:cs="Times New Roman"/>
          <w:sz w:val="28"/>
          <w:szCs w:val="28"/>
        </w:rPr>
        <w:t xml:space="preserve"> информации</w:t>
      </w:r>
      <w:r w:rsidR="00282B60" w:rsidRPr="000160C5">
        <w:rPr>
          <w:rFonts w:ascii="Times New Roman" w:hAnsi="Times New Roman" w:cs="Times New Roman"/>
          <w:sz w:val="28"/>
          <w:szCs w:val="28"/>
        </w:rPr>
        <w:t xml:space="preserve">, согласно которому закон обязывает эмитентов полностью раскрывать всю существенную информацию, которая может потребоваться рациональному инвестору для принятия самостоятельного </w:t>
      </w:r>
      <w:r w:rsidR="00880706" w:rsidRPr="000160C5">
        <w:rPr>
          <w:rFonts w:ascii="Times New Roman" w:hAnsi="Times New Roman" w:cs="Times New Roman"/>
          <w:sz w:val="28"/>
          <w:szCs w:val="28"/>
        </w:rPr>
        <w:t xml:space="preserve">инвестиционного </w:t>
      </w:r>
      <w:r w:rsidR="00282B60" w:rsidRPr="000160C5">
        <w:rPr>
          <w:rFonts w:ascii="Times New Roman" w:hAnsi="Times New Roman" w:cs="Times New Roman"/>
          <w:sz w:val="28"/>
          <w:szCs w:val="28"/>
        </w:rPr>
        <w:t xml:space="preserve">решения. </w:t>
      </w:r>
      <w:r w:rsidR="00263A90" w:rsidRPr="000160C5">
        <w:rPr>
          <w:rFonts w:ascii="Times New Roman" w:hAnsi="Times New Roman" w:cs="Times New Roman"/>
          <w:sz w:val="28"/>
          <w:szCs w:val="28"/>
        </w:rPr>
        <w:t>Существенной</w:t>
      </w:r>
      <w:r w:rsidR="00B7455A" w:rsidRPr="000160C5">
        <w:rPr>
          <w:rFonts w:ascii="Times New Roman" w:hAnsi="Times New Roman" w:cs="Times New Roman"/>
          <w:sz w:val="28"/>
          <w:szCs w:val="28"/>
        </w:rPr>
        <w:t xml:space="preserve"> </w:t>
      </w:r>
      <w:r w:rsidR="00263A90" w:rsidRPr="000160C5">
        <w:rPr>
          <w:rFonts w:ascii="Times New Roman" w:hAnsi="Times New Roman" w:cs="Times New Roman"/>
          <w:sz w:val="28"/>
          <w:szCs w:val="28"/>
        </w:rPr>
        <w:t>считается</w:t>
      </w:r>
      <w:r w:rsidR="00B7455A" w:rsidRPr="000160C5">
        <w:rPr>
          <w:rFonts w:ascii="Times New Roman" w:hAnsi="Times New Roman" w:cs="Times New Roman"/>
          <w:sz w:val="28"/>
          <w:szCs w:val="28"/>
        </w:rPr>
        <w:t xml:space="preserve"> </w:t>
      </w:r>
      <w:r w:rsidR="00263A90" w:rsidRPr="000160C5">
        <w:rPr>
          <w:rFonts w:ascii="Times New Roman" w:hAnsi="Times New Roman" w:cs="Times New Roman"/>
          <w:sz w:val="28"/>
          <w:szCs w:val="28"/>
        </w:rPr>
        <w:t>т</w:t>
      </w:r>
      <w:r w:rsidR="00B7455A" w:rsidRPr="000160C5">
        <w:rPr>
          <w:rFonts w:ascii="Times New Roman" w:hAnsi="Times New Roman" w:cs="Times New Roman"/>
          <w:sz w:val="28"/>
          <w:szCs w:val="28"/>
        </w:rPr>
        <w:t>ак</w:t>
      </w:r>
      <w:r w:rsidR="00263A90" w:rsidRPr="000160C5">
        <w:rPr>
          <w:rFonts w:ascii="Times New Roman" w:hAnsi="Times New Roman" w:cs="Times New Roman"/>
          <w:sz w:val="28"/>
          <w:szCs w:val="28"/>
        </w:rPr>
        <w:t>ая</w:t>
      </w:r>
      <w:r w:rsidR="00B7455A" w:rsidRPr="000160C5">
        <w:rPr>
          <w:rFonts w:ascii="Times New Roman" w:hAnsi="Times New Roman" w:cs="Times New Roman"/>
          <w:sz w:val="28"/>
          <w:szCs w:val="28"/>
        </w:rPr>
        <w:t xml:space="preserve"> информация, непредставление или искажение которой может повлиять на экономические решения, принимаемые пользователями информации</w:t>
      </w:r>
      <w:r w:rsidR="00B7455A" w:rsidRPr="000160C5">
        <w:rPr>
          <w:rStyle w:val="a9"/>
          <w:rFonts w:ascii="Times New Roman" w:hAnsi="Times New Roman" w:cs="Times New Roman"/>
          <w:sz w:val="28"/>
          <w:szCs w:val="28"/>
        </w:rPr>
        <w:footnoteReference w:id="6"/>
      </w:r>
      <w:r w:rsidR="00B7455A" w:rsidRPr="000160C5">
        <w:rPr>
          <w:rFonts w:ascii="Times New Roman" w:hAnsi="Times New Roman" w:cs="Times New Roman"/>
          <w:sz w:val="28"/>
          <w:szCs w:val="28"/>
        </w:rPr>
        <w:t>.</w:t>
      </w:r>
    </w:p>
    <w:p w:rsidR="0088691C" w:rsidRPr="000160C5" w:rsidRDefault="0088691C"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Российское законодательство оперирует термином «раскрытие информации» в Федеральном законе «О рынке ценных бумаг»</w:t>
      </w:r>
      <w:r w:rsidR="00256C86" w:rsidRPr="000160C5">
        <w:rPr>
          <w:rStyle w:val="a9"/>
          <w:rFonts w:ascii="Times New Roman" w:hAnsi="Times New Roman" w:cs="Times New Roman"/>
          <w:sz w:val="28"/>
          <w:szCs w:val="28"/>
        </w:rPr>
        <w:footnoteReference w:id="7"/>
      </w:r>
      <w:r w:rsidRPr="000160C5">
        <w:rPr>
          <w:rFonts w:ascii="Times New Roman" w:hAnsi="Times New Roman" w:cs="Times New Roman"/>
          <w:sz w:val="28"/>
          <w:szCs w:val="28"/>
        </w:rPr>
        <w:t xml:space="preserve"> (далее – Закон о РЦБ)</w:t>
      </w:r>
      <w:r w:rsidR="00EB2431" w:rsidRPr="000160C5">
        <w:rPr>
          <w:rFonts w:ascii="Times New Roman" w:hAnsi="Times New Roman" w:cs="Times New Roman"/>
          <w:sz w:val="28"/>
          <w:szCs w:val="28"/>
        </w:rPr>
        <w:t xml:space="preserve">. Согласно указанному нормативному акту, </w:t>
      </w:r>
      <w:r w:rsidR="00B7455A" w:rsidRPr="000160C5">
        <w:rPr>
          <w:rFonts w:ascii="Times New Roman" w:hAnsi="Times New Roman" w:cs="Times New Roman"/>
          <w:sz w:val="28"/>
          <w:szCs w:val="28"/>
        </w:rPr>
        <w:t>под раскрытием информации на рынке ценных бумаг понимается обеспечение ее доступности всем заинтересованным в этом лицам независимо от целей получения данной информации в соответствии с процедурой, гарантирующей ее нахождение и получение.</w:t>
      </w:r>
      <w:r w:rsidR="00AB1BE3" w:rsidRPr="000160C5">
        <w:rPr>
          <w:rFonts w:ascii="Times New Roman" w:hAnsi="Times New Roman" w:cs="Times New Roman"/>
          <w:sz w:val="28"/>
          <w:szCs w:val="28"/>
        </w:rPr>
        <w:t xml:space="preserve"> </w:t>
      </w:r>
      <w:r w:rsidR="00875C14" w:rsidRPr="000160C5">
        <w:rPr>
          <w:rFonts w:ascii="Times New Roman" w:hAnsi="Times New Roman" w:cs="Times New Roman"/>
          <w:sz w:val="28"/>
          <w:szCs w:val="28"/>
        </w:rPr>
        <w:t xml:space="preserve">Раскрытой информацией на рынке ценных бумаг признается </w:t>
      </w:r>
      <w:r w:rsidR="00875C14" w:rsidRPr="000160C5">
        <w:rPr>
          <w:rFonts w:ascii="Times New Roman" w:hAnsi="Times New Roman" w:cs="Times New Roman"/>
          <w:sz w:val="28"/>
          <w:szCs w:val="28"/>
        </w:rPr>
        <w:lastRenderedPageBreak/>
        <w:t>информация, в отношении которой проведены действия по ее раскрытию.</w:t>
      </w:r>
    </w:p>
    <w:p w:rsidR="00875C14" w:rsidRPr="000160C5" w:rsidRDefault="00875C14" w:rsidP="005901E8">
      <w:pPr>
        <w:keepNext/>
        <w:widowControl w:val="0"/>
        <w:spacing w:after="0" w:line="360" w:lineRule="auto"/>
        <w:ind w:firstLine="709"/>
        <w:contextualSpacing/>
        <w:jc w:val="both"/>
        <w:rPr>
          <w:rFonts w:ascii="Times New Roman" w:hAnsi="Times New Roman" w:cs="Times New Roman"/>
          <w:sz w:val="28"/>
          <w:szCs w:val="28"/>
        </w:rPr>
      </w:pPr>
      <w:proofErr w:type="gramStart"/>
      <w:r w:rsidRPr="000160C5">
        <w:rPr>
          <w:rFonts w:ascii="Times New Roman" w:hAnsi="Times New Roman" w:cs="Times New Roman"/>
          <w:sz w:val="28"/>
          <w:szCs w:val="28"/>
        </w:rPr>
        <w:t>Режим раскрываемой информации существует параллельно с общедоступной информацией, то есть информацией, не требующей привилегий для доступа к ней или подлежащ</w:t>
      </w:r>
      <w:r w:rsidR="00880706" w:rsidRPr="000160C5">
        <w:rPr>
          <w:rFonts w:ascii="Times New Roman" w:hAnsi="Times New Roman" w:cs="Times New Roman"/>
          <w:sz w:val="28"/>
          <w:szCs w:val="28"/>
        </w:rPr>
        <w:t>ей</w:t>
      </w:r>
      <w:r w:rsidRPr="000160C5">
        <w:rPr>
          <w:rFonts w:ascii="Times New Roman" w:hAnsi="Times New Roman" w:cs="Times New Roman"/>
          <w:sz w:val="28"/>
          <w:szCs w:val="28"/>
        </w:rPr>
        <w:t xml:space="preserve"> раскрытию в </w:t>
      </w:r>
      <w:r w:rsidR="00263A90" w:rsidRPr="000160C5">
        <w:rPr>
          <w:rFonts w:ascii="Times New Roman" w:hAnsi="Times New Roman" w:cs="Times New Roman"/>
          <w:sz w:val="28"/>
          <w:szCs w:val="28"/>
        </w:rPr>
        <w:t>соответствии законодательством (</w:t>
      </w:r>
      <w:r w:rsidRPr="000160C5">
        <w:rPr>
          <w:rFonts w:ascii="Times New Roman" w:hAnsi="Times New Roman" w:cs="Times New Roman"/>
          <w:sz w:val="28"/>
          <w:szCs w:val="28"/>
        </w:rPr>
        <w:t>например, публично доступная информация, размещенная в СМИ</w:t>
      </w:r>
      <w:r w:rsidR="00263A90" w:rsidRPr="000160C5">
        <w:rPr>
          <w:rFonts w:ascii="Times New Roman" w:hAnsi="Times New Roman" w:cs="Times New Roman"/>
          <w:sz w:val="28"/>
          <w:szCs w:val="28"/>
        </w:rPr>
        <w:t>)</w:t>
      </w:r>
      <w:r w:rsidRPr="000160C5">
        <w:rPr>
          <w:rFonts w:ascii="Times New Roman" w:hAnsi="Times New Roman" w:cs="Times New Roman"/>
          <w:sz w:val="28"/>
          <w:szCs w:val="28"/>
        </w:rPr>
        <w:t>, а также с предоставляемой информацией, то есть информацией, в отношении которой проведены действия по обеспечению ее доступности определенному кругу лиц в соответствии с процедурой, гарантирующей ее нахождение и получение</w:t>
      </w:r>
      <w:proofErr w:type="gramEnd"/>
      <w:r w:rsidRPr="000160C5">
        <w:rPr>
          <w:rFonts w:ascii="Times New Roman" w:hAnsi="Times New Roman" w:cs="Times New Roman"/>
          <w:sz w:val="28"/>
          <w:szCs w:val="28"/>
        </w:rPr>
        <w:t xml:space="preserve"> этим кругом лиц</w:t>
      </w:r>
      <w:r w:rsidR="00263A90" w:rsidRPr="000160C5">
        <w:rPr>
          <w:rFonts w:ascii="Times New Roman" w:hAnsi="Times New Roman" w:cs="Times New Roman"/>
          <w:sz w:val="28"/>
          <w:szCs w:val="28"/>
        </w:rPr>
        <w:t xml:space="preserve"> (</w:t>
      </w:r>
      <w:r w:rsidRPr="000160C5">
        <w:rPr>
          <w:rFonts w:ascii="Times New Roman" w:hAnsi="Times New Roman" w:cs="Times New Roman"/>
          <w:sz w:val="28"/>
          <w:szCs w:val="28"/>
        </w:rPr>
        <w:t>например, получение акционером доступа к протоколам совета директоров</w:t>
      </w:r>
      <w:r w:rsidR="00263A90" w:rsidRPr="000160C5">
        <w:rPr>
          <w:rFonts w:ascii="Times New Roman" w:hAnsi="Times New Roman" w:cs="Times New Roman"/>
          <w:sz w:val="28"/>
          <w:szCs w:val="28"/>
        </w:rPr>
        <w:t>)</w:t>
      </w:r>
      <w:r w:rsidRPr="000160C5">
        <w:rPr>
          <w:rFonts w:ascii="Times New Roman" w:hAnsi="Times New Roman" w:cs="Times New Roman"/>
          <w:sz w:val="28"/>
          <w:szCs w:val="28"/>
        </w:rPr>
        <w:t>.</w:t>
      </w:r>
      <w:r w:rsidR="00801CC8">
        <w:rPr>
          <w:rFonts w:ascii="Times New Roman" w:hAnsi="Times New Roman" w:cs="Times New Roman"/>
          <w:sz w:val="28"/>
          <w:szCs w:val="28"/>
        </w:rPr>
        <w:t xml:space="preserve"> Разница между раскрываемой, общедоступной и предоставляемой информацией очевидна: различен субъектный состав, процедура и нормативное закрепление обязанности эмитента, а соответственно и последствия за нарушение такой обязанности.</w:t>
      </w:r>
    </w:p>
    <w:p w:rsidR="00A55457" w:rsidRPr="000160C5" w:rsidRDefault="00A603BE"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Исходя из выше обозначенного</w:t>
      </w:r>
      <w:r w:rsidR="00A26317" w:rsidRPr="000160C5">
        <w:rPr>
          <w:rFonts w:ascii="Times New Roman" w:hAnsi="Times New Roman" w:cs="Times New Roman"/>
          <w:sz w:val="28"/>
          <w:szCs w:val="28"/>
        </w:rPr>
        <w:t xml:space="preserve">, </w:t>
      </w:r>
      <w:r w:rsidR="00A254D9" w:rsidRPr="000160C5">
        <w:rPr>
          <w:rFonts w:ascii="Times New Roman" w:hAnsi="Times New Roman" w:cs="Times New Roman"/>
          <w:sz w:val="28"/>
          <w:szCs w:val="28"/>
        </w:rPr>
        <w:t xml:space="preserve">раскрытие информации является </w:t>
      </w:r>
      <w:r w:rsidRPr="000160C5">
        <w:rPr>
          <w:rFonts w:ascii="Times New Roman" w:hAnsi="Times New Roman" w:cs="Times New Roman"/>
          <w:sz w:val="28"/>
          <w:szCs w:val="28"/>
        </w:rPr>
        <w:t xml:space="preserve">нормативно установленной </w:t>
      </w:r>
      <w:r w:rsidR="00A254D9" w:rsidRPr="000160C5">
        <w:rPr>
          <w:rFonts w:ascii="Times New Roman" w:hAnsi="Times New Roman" w:cs="Times New Roman"/>
          <w:sz w:val="28"/>
          <w:szCs w:val="28"/>
        </w:rPr>
        <w:t xml:space="preserve">публичной обязанностью эмитента, нацеленной на защиту прав инвестора и обеспечение инвестора информацией, которая может повлиять на принимаемое </w:t>
      </w:r>
      <w:r w:rsidRPr="000160C5">
        <w:rPr>
          <w:rFonts w:ascii="Times New Roman" w:hAnsi="Times New Roman" w:cs="Times New Roman"/>
          <w:sz w:val="28"/>
          <w:szCs w:val="28"/>
        </w:rPr>
        <w:t xml:space="preserve">им </w:t>
      </w:r>
      <w:r w:rsidR="00880706" w:rsidRPr="000160C5">
        <w:rPr>
          <w:rFonts w:ascii="Times New Roman" w:hAnsi="Times New Roman" w:cs="Times New Roman"/>
          <w:sz w:val="28"/>
          <w:szCs w:val="28"/>
        </w:rPr>
        <w:t xml:space="preserve">инвестиционное </w:t>
      </w:r>
      <w:r w:rsidR="00A254D9" w:rsidRPr="000160C5">
        <w:rPr>
          <w:rFonts w:ascii="Times New Roman" w:hAnsi="Times New Roman" w:cs="Times New Roman"/>
          <w:sz w:val="28"/>
          <w:szCs w:val="28"/>
        </w:rPr>
        <w:t xml:space="preserve">решение. Круг лиц, которым </w:t>
      </w:r>
      <w:r w:rsidR="003774C8" w:rsidRPr="000160C5">
        <w:rPr>
          <w:rFonts w:ascii="Times New Roman" w:hAnsi="Times New Roman" w:cs="Times New Roman"/>
          <w:sz w:val="28"/>
          <w:szCs w:val="28"/>
        </w:rPr>
        <w:t>адресована</w:t>
      </w:r>
      <w:r w:rsidR="00A254D9" w:rsidRPr="000160C5">
        <w:rPr>
          <w:rFonts w:ascii="Times New Roman" w:hAnsi="Times New Roman" w:cs="Times New Roman"/>
          <w:sz w:val="28"/>
          <w:szCs w:val="28"/>
        </w:rPr>
        <w:t xml:space="preserve"> раскрываемая информация, неограничен, так как заинтересованным лицом может быть как действительный инвестор, так и потенциальный</w:t>
      </w:r>
      <w:r w:rsidR="00F15BA0" w:rsidRPr="000160C5">
        <w:rPr>
          <w:rFonts w:ascii="Times New Roman" w:hAnsi="Times New Roman" w:cs="Times New Roman"/>
          <w:sz w:val="28"/>
          <w:szCs w:val="28"/>
        </w:rPr>
        <w:t>, как внутренний, так и внешний</w:t>
      </w:r>
      <w:r w:rsidR="003774C8" w:rsidRPr="000160C5">
        <w:rPr>
          <w:rFonts w:ascii="Times New Roman" w:hAnsi="Times New Roman" w:cs="Times New Roman"/>
          <w:sz w:val="28"/>
          <w:szCs w:val="28"/>
        </w:rPr>
        <w:t xml:space="preserve"> инвестор</w:t>
      </w:r>
      <w:r w:rsidRPr="000160C5">
        <w:rPr>
          <w:rFonts w:ascii="Times New Roman" w:hAnsi="Times New Roman" w:cs="Times New Roman"/>
          <w:sz w:val="28"/>
          <w:szCs w:val="28"/>
        </w:rPr>
        <w:t>.</w:t>
      </w:r>
      <w:r w:rsidR="00F15BA0" w:rsidRPr="000160C5">
        <w:rPr>
          <w:rFonts w:ascii="Times New Roman" w:hAnsi="Times New Roman" w:cs="Times New Roman"/>
          <w:sz w:val="28"/>
          <w:szCs w:val="28"/>
        </w:rPr>
        <w:t xml:space="preserve"> </w:t>
      </w:r>
      <w:r w:rsidRPr="000160C5">
        <w:rPr>
          <w:rFonts w:ascii="Times New Roman" w:hAnsi="Times New Roman" w:cs="Times New Roman"/>
          <w:sz w:val="28"/>
          <w:szCs w:val="28"/>
        </w:rPr>
        <w:t>В</w:t>
      </w:r>
      <w:r w:rsidR="00F15BA0" w:rsidRPr="000160C5">
        <w:rPr>
          <w:rFonts w:ascii="Times New Roman" w:hAnsi="Times New Roman" w:cs="Times New Roman"/>
          <w:sz w:val="28"/>
          <w:szCs w:val="28"/>
        </w:rPr>
        <w:t xml:space="preserve"> связи с </w:t>
      </w:r>
      <w:r w:rsidRPr="000160C5">
        <w:rPr>
          <w:rFonts w:ascii="Times New Roman" w:hAnsi="Times New Roman" w:cs="Times New Roman"/>
          <w:sz w:val="28"/>
          <w:szCs w:val="28"/>
        </w:rPr>
        <w:t>этим</w:t>
      </w:r>
      <w:r w:rsidR="00F15BA0" w:rsidRPr="000160C5">
        <w:rPr>
          <w:rFonts w:ascii="Times New Roman" w:hAnsi="Times New Roman" w:cs="Times New Roman"/>
          <w:sz w:val="28"/>
          <w:szCs w:val="28"/>
        </w:rPr>
        <w:t xml:space="preserve"> информационная прозрачность рынка ценных бумаг оказывает существенное влияние на инвестиционный климат внутри страны</w:t>
      </w:r>
      <w:r w:rsidRPr="000160C5">
        <w:rPr>
          <w:rFonts w:ascii="Times New Roman" w:hAnsi="Times New Roman" w:cs="Times New Roman"/>
          <w:sz w:val="28"/>
          <w:szCs w:val="28"/>
        </w:rPr>
        <w:t xml:space="preserve">, а также на </w:t>
      </w:r>
      <w:r w:rsidR="00F15BA0" w:rsidRPr="000160C5">
        <w:rPr>
          <w:rFonts w:ascii="Times New Roman" w:hAnsi="Times New Roman" w:cs="Times New Roman"/>
          <w:sz w:val="28"/>
          <w:szCs w:val="28"/>
        </w:rPr>
        <w:t>ее инвестиционную привлекательность для иностранных инвесторов, что в целом влияет на экономику государства</w:t>
      </w:r>
      <w:r w:rsidRPr="000160C5">
        <w:rPr>
          <w:rFonts w:ascii="Times New Roman" w:hAnsi="Times New Roman" w:cs="Times New Roman"/>
          <w:sz w:val="28"/>
          <w:szCs w:val="28"/>
        </w:rPr>
        <w:t xml:space="preserve"> и трансграничные экономические отношения</w:t>
      </w:r>
      <w:r w:rsidR="00F15BA0" w:rsidRPr="000160C5">
        <w:rPr>
          <w:rFonts w:ascii="Times New Roman" w:hAnsi="Times New Roman" w:cs="Times New Roman"/>
          <w:sz w:val="28"/>
          <w:szCs w:val="28"/>
        </w:rPr>
        <w:t xml:space="preserve">. </w:t>
      </w:r>
      <w:r w:rsidR="003B39F6" w:rsidRPr="000160C5">
        <w:rPr>
          <w:rFonts w:ascii="Times New Roman" w:hAnsi="Times New Roman" w:cs="Times New Roman"/>
          <w:sz w:val="28"/>
          <w:szCs w:val="28"/>
        </w:rPr>
        <w:t xml:space="preserve"> </w:t>
      </w:r>
      <w:r w:rsidR="00A254D9" w:rsidRPr="000160C5">
        <w:rPr>
          <w:rFonts w:ascii="Times New Roman" w:hAnsi="Times New Roman" w:cs="Times New Roman"/>
          <w:sz w:val="28"/>
          <w:szCs w:val="28"/>
        </w:rPr>
        <w:t xml:space="preserve"> </w:t>
      </w:r>
    </w:p>
    <w:p w:rsidR="001F6AFE" w:rsidRPr="000160C5" w:rsidRDefault="00CD1C95" w:rsidP="008B4DF2">
      <w:pPr>
        <w:pStyle w:val="2"/>
        <w:keepLines w:val="0"/>
        <w:widowControl w:val="0"/>
        <w:spacing w:before="0" w:line="360" w:lineRule="auto"/>
        <w:ind w:firstLine="709"/>
        <w:contextualSpacing/>
        <w:rPr>
          <w:rFonts w:cs="Times New Roman"/>
          <w:szCs w:val="28"/>
        </w:rPr>
      </w:pPr>
      <w:bookmarkStart w:id="4" w:name="_Toc356162044"/>
      <w:r w:rsidRPr="000160C5">
        <w:rPr>
          <w:rFonts w:cs="Times New Roman"/>
          <w:szCs w:val="28"/>
        </w:rPr>
        <w:t xml:space="preserve">§2. </w:t>
      </w:r>
      <w:r w:rsidR="00A55457" w:rsidRPr="000160C5">
        <w:rPr>
          <w:rFonts w:cs="Times New Roman"/>
          <w:szCs w:val="28"/>
        </w:rPr>
        <w:t>Эмитенты, обязанные раскрывать информацию</w:t>
      </w:r>
      <w:bookmarkEnd w:id="4"/>
    </w:p>
    <w:p w:rsidR="00176524" w:rsidRPr="000160C5" w:rsidRDefault="00125DB6" w:rsidP="00E26BBB">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О</w:t>
      </w:r>
      <w:r w:rsidR="006F3606" w:rsidRPr="000160C5">
        <w:rPr>
          <w:rFonts w:ascii="Times New Roman" w:hAnsi="Times New Roman" w:cs="Times New Roman"/>
          <w:sz w:val="28"/>
          <w:szCs w:val="28"/>
        </w:rPr>
        <w:t xml:space="preserve">бщая </w:t>
      </w:r>
      <w:r w:rsidR="0033775B" w:rsidRPr="000160C5">
        <w:rPr>
          <w:rFonts w:ascii="Times New Roman" w:hAnsi="Times New Roman" w:cs="Times New Roman"/>
          <w:sz w:val="28"/>
          <w:szCs w:val="28"/>
        </w:rPr>
        <w:t>обязанност</w:t>
      </w:r>
      <w:r w:rsidR="006F3606" w:rsidRPr="000160C5">
        <w:rPr>
          <w:rFonts w:ascii="Times New Roman" w:hAnsi="Times New Roman" w:cs="Times New Roman"/>
          <w:sz w:val="28"/>
          <w:szCs w:val="28"/>
        </w:rPr>
        <w:t>ь</w:t>
      </w:r>
      <w:r w:rsidR="0033775B" w:rsidRPr="000160C5">
        <w:rPr>
          <w:rFonts w:ascii="Times New Roman" w:hAnsi="Times New Roman" w:cs="Times New Roman"/>
          <w:sz w:val="28"/>
          <w:szCs w:val="28"/>
        </w:rPr>
        <w:t xml:space="preserve"> раскрывать информацию распространяется на достаточно широкий круг субъектов. </w:t>
      </w:r>
      <w:r w:rsidR="00E02C2B" w:rsidRPr="000160C5">
        <w:rPr>
          <w:rFonts w:ascii="Times New Roman" w:hAnsi="Times New Roman" w:cs="Times New Roman"/>
          <w:sz w:val="28"/>
          <w:szCs w:val="28"/>
        </w:rPr>
        <w:t>В рамках настоящей работы обязанность по раскрытию информации</w:t>
      </w:r>
      <w:r w:rsidR="00176524" w:rsidRPr="000160C5">
        <w:rPr>
          <w:rFonts w:ascii="Times New Roman" w:hAnsi="Times New Roman" w:cs="Times New Roman"/>
          <w:sz w:val="28"/>
          <w:szCs w:val="28"/>
        </w:rPr>
        <w:t xml:space="preserve"> будет рассмотрена в отношении </w:t>
      </w:r>
      <w:r w:rsidR="00176524" w:rsidRPr="000160C5">
        <w:rPr>
          <w:rFonts w:ascii="Times New Roman" w:hAnsi="Times New Roman" w:cs="Times New Roman"/>
          <w:sz w:val="28"/>
          <w:szCs w:val="28"/>
        </w:rPr>
        <w:lastRenderedPageBreak/>
        <w:t>эмитентов эмиссионных ценных бумаг</w:t>
      </w:r>
      <w:r w:rsidR="00E02C2B" w:rsidRPr="000160C5">
        <w:rPr>
          <w:rFonts w:ascii="Times New Roman" w:hAnsi="Times New Roman" w:cs="Times New Roman"/>
          <w:sz w:val="28"/>
          <w:szCs w:val="28"/>
        </w:rPr>
        <w:t xml:space="preserve">. </w:t>
      </w:r>
    </w:p>
    <w:p w:rsidR="00E02C2B" w:rsidRPr="000160C5" w:rsidRDefault="00E02C2B" w:rsidP="00176524">
      <w:pPr>
        <w:keepNext/>
        <w:widowControl w:val="0"/>
        <w:spacing w:after="0" w:line="360" w:lineRule="auto"/>
        <w:ind w:firstLine="708"/>
        <w:contextualSpacing/>
        <w:jc w:val="both"/>
        <w:rPr>
          <w:rFonts w:ascii="Times New Roman" w:hAnsi="Times New Roman" w:cs="Times New Roman"/>
          <w:sz w:val="28"/>
          <w:szCs w:val="28"/>
        </w:rPr>
      </w:pPr>
      <w:r w:rsidRPr="000160C5">
        <w:rPr>
          <w:rFonts w:ascii="Times New Roman" w:hAnsi="Times New Roman" w:cs="Times New Roman"/>
          <w:sz w:val="28"/>
          <w:szCs w:val="28"/>
        </w:rPr>
        <w:t>Легальное понятие эмитента закреплено в Законе о РЦБ: эмитентом является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rsidR="00E04360" w:rsidRPr="000160C5" w:rsidRDefault="00125DB6" w:rsidP="00125DB6">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Учитывая широкое толкование термина «эмитент» сделаем оговорку о том, что в рамках настоящего исследования рассматриваются исключительно коммерческие юридические лица в качестве </w:t>
      </w:r>
      <w:r w:rsidR="00F15CEE">
        <w:rPr>
          <w:rFonts w:ascii="Times New Roman" w:hAnsi="Times New Roman" w:cs="Times New Roman"/>
          <w:sz w:val="28"/>
          <w:szCs w:val="28"/>
        </w:rPr>
        <w:t>эмитентов</w:t>
      </w:r>
      <w:r w:rsidRPr="000160C5">
        <w:rPr>
          <w:rFonts w:ascii="Times New Roman" w:hAnsi="Times New Roman" w:cs="Times New Roman"/>
          <w:sz w:val="28"/>
          <w:szCs w:val="28"/>
        </w:rPr>
        <w:t>, не принимая во внимание публично-пр</w:t>
      </w:r>
      <w:r w:rsidR="00E26BBB">
        <w:rPr>
          <w:rFonts w:ascii="Times New Roman" w:hAnsi="Times New Roman" w:cs="Times New Roman"/>
          <w:sz w:val="28"/>
          <w:szCs w:val="28"/>
        </w:rPr>
        <w:t xml:space="preserve">авовые образования, для которых нормативно </w:t>
      </w:r>
      <w:r w:rsidR="00172A91">
        <w:rPr>
          <w:rFonts w:ascii="Times New Roman" w:hAnsi="Times New Roman" w:cs="Times New Roman"/>
          <w:sz w:val="28"/>
          <w:szCs w:val="28"/>
        </w:rPr>
        <w:t>определен</w:t>
      </w:r>
      <w:r w:rsidRPr="000160C5">
        <w:rPr>
          <w:rFonts w:ascii="Times New Roman" w:hAnsi="Times New Roman" w:cs="Times New Roman"/>
          <w:sz w:val="28"/>
          <w:szCs w:val="28"/>
        </w:rPr>
        <w:t xml:space="preserve"> особый порядок раскрытия информации.  </w:t>
      </w:r>
    </w:p>
    <w:p w:rsidR="008E2A65" w:rsidRPr="000160C5" w:rsidRDefault="00B65C8A"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 Согласно </w:t>
      </w:r>
      <w:r w:rsidR="00177127" w:rsidRPr="000160C5">
        <w:rPr>
          <w:rFonts w:ascii="Times New Roman" w:hAnsi="Times New Roman" w:cs="Times New Roman"/>
          <w:sz w:val="28"/>
          <w:szCs w:val="28"/>
        </w:rPr>
        <w:t>Закону о РЦБ существует четыре типа эмиссионных ценных бумаг: акции, облигации, российские депозитарные расписки</w:t>
      </w:r>
      <w:r w:rsidR="00557920" w:rsidRPr="000160C5">
        <w:rPr>
          <w:rFonts w:ascii="Times New Roman" w:hAnsi="Times New Roman" w:cs="Times New Roman"/>
          <w:sz w:val="28"/>
          <w:szCs w:val="28"/>
        </w:rPr>
        <w:t xml:space="preserve"> (далее – РДР)</w:t>
      </w:r>
      <w:r w:rsidR="00177127" w:rsidRPr="000160C5">
        <w:rPr>
          <w:rFonts w:ascii="Times New Roman" w:hAnsi="Times New Roman" w:cs="Times New Roman"/>
          <w:sz w:val="28"/>
          <w:szCs w:val="28"/>
        </w:rPr>
        <w:t xml:space="preserve"> и опционы эмитента. </w:t>
      </w:r>
      <w:r w:rsidR="003B6767">
        <w:rPr>
          <w:rFonts w:ascii="Times New Roman" w:hAnsi="Times New Roman" w:cs="Times New Roman"/>
          <w:sz w:val="28"/>
          <w:szCs w:val="28"/>
        </w:rPr>
        <w:t>Е</w:t>
      </w:r>
      <w:r w:rsidR="00557920" w:rsidRPr="000160C5">
        <w:rPr>
          <w:rFonts w:ascii="Times New Roman" w:hAnsi="Times New Roman" w:cs="Times New Roman"/>
          <w:sz w:val="28"/>
          <w:szCs w:val="28"/>
        </w:rPr>
        <w:t>сли первые два активно реализованы в жизнь, то опционы эмитента и РДР не нашли своего практического применения (единственный выпуск РДР был организован Объедине</w:t>
      </w:r>
      <w:r w:rsidR="008E2A65" w:rsidRPr="000160C5">
        <w:rPr>
          <w:rFonts w:ascii="Times New Roman" w:hAnsi="Times New Roman" w:cs="Times New Roman"/>
          <w:sz w:val="28"/>
          <w:szCs w:val="28"/>
        </w:rPr>
        <w:t>н</w:t>
      </w:r>
      <w:r w:rsidR="00557920" w:rsidRPr="000160C5">
        <w:rPr>
          <w:rFonts w:ascii="Times New Roman" w:hAnsi="Times New Roman" w:cs="Times New Roman"/>
          <w:sz w:val="28"/>
          <w:szCs w:val="28"/>
        </w:rPr>
        <w:t>ной компанией РУСАЛ в 2010 году через ОАО «Сбербанк»</w:t>
      </w:r>
      <w:r w:rsidR="00557920" w:rsidRPr="000160C5">
        <w:rPr>
          <w:rStyle w:val="a9"/>
          <w:rFonts w:ascii="Times New Roman" w:hAnsi="Times New Roman" w:cs="Times New Roman"/>
          <w:sz w:val="28"/>
          <w:szCs w:val="28"/>
        </w:rPr>
        <w:footnoteReference w:id="8"/>
      </w:r>
      <w:r w:rsidR="00557920" w:rsidRPr="000160C5">
        <w:rPr>
          <w:rFonts w:ascii="Times New Roman" w:hAnsi="Times New Roman" w:cs="Times New Roman"/>
          <w:sz w:val="28"/>
          <w:szCs w:val="28"/>
        </w:rPr>
        <w:t xml:space="preserve">). </w:t>
      </w:r>
    </w:p>
    <w:p w:rsidR="008E6875" w:rsidRPr="000160C5" w:rsidRDefault="008E2A65"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Что касается эмитентов, выпускающих акции и облигации, то очевидными примерами являются акционерные общества (</w:t>
      </w:r>
      <w:r w:rsidR="002A6C2E" w:rsidRPr="000160C5">
        <w:rPr>
          <w:rFonts w:ascii="Times New Roman" w:hAnsi="Times New Roman" w:cs="Times New Roman"/>
          <w:sz w:val="28"/>
          <w:szCs w:val="28"/>
        </w:rPr>
        <w:t xml:space="preserve">выпуск </w:t>
      </w:r>
      <w:r w:rsidRPr="000160C5">
        <w:rPr>
          <w:rFonts w:ascii="Times New Roman" w:hAnsi="Times New Roman" w:cs="Times New Roman"/>
          <w:sz w:val="28"/>
          <w:szCs w:val="28"/>
        </w:rPr>
        <w:t>акци</w:t>
      </w:r>
      <w:r w:rsidR="002A6C2E" w:rsidRPr="000160C5">
        <w:rPr>
          <w:rFonts w:ascii="Times New Roman" w:hAnsi="Times New Roman" w:cs="Times New Roman"/>
          <w:sz w:val="28"/>
          <w:szCs w:val="28"/>
        </w:rPr>
        <w:t>й</w:t>
      </w:r>
      <w:r w:rsidRPr="000160C5">
        <w:rPr>
          <w:rFonts w:ascii="Times New Roman" w:hAnsi="Times New Roman" w:cs="Times New Roman"/>
          <w:sz w:val="28"/>
          <w:szCs w:val="28"/>
        </w:rPr>
        <w:t xml:space="preserve"> и облигаци</w:t>
      </w:r>
      <w:r w:rsidR="002A6C2E" w:rsidRPr="000160C5">
        <w:rPr>
          <w:rFonts w:ascii="Times New Roman" w:hAnsi="Times New Roman" w:cs="Times New Roman"/>
          <w:sz w:val="28"/>
          <w:szCs w:val="28"/>
        </w:rPr>
        <w:t>й</w:t>
      </w:r>
      <w:r w:rsidRPr="000160C5">
        <w:rPr>
          <w:rFonts w:ascii="Times New Roman" w:hAnsi="Times New Roman" w:cs="Times New Roman"/>
          <w:sz w:val="28"/>
          <w:szCs w:val="28"/>
        </w:rPr>
        <w:t>) и общества с ограниченной ответственностью (</w:t>
      </w:r>
      <w:r w:rsidR="002A6C2E" w:rsidRPr="000160C5">
        <w:rPr>
          <w:rFonts w:ascii="Times New Roman" w:hAnsi="Times New Roman" w:cs="Times New Roman"/>
          <w:sz w:val="28"/>
          <w:szCs w:val="28"/>
        </w:rPr>
        <w:t xml:space="preserve">выпуск </w:t>
      </w:r>
      <w:r w:rsidRPr="000160C5">
        <w:rPr>
          <w:rFonts w:ascii="Times New Roman" w:hAnsi="Times New Roman" w:cs="Times New Roman"/>
          <w:sz w:val="28"/>
          <w:szCs w:val="28"/>
        </w:rPr>
        <w:t>облигаци</w:t>
      </w:r>
      <w:r w:rsidR="002A6C2E" w:rsidRPr="000160C5">
        <w:rPr>
          <w:rFonts w:ascii="Times New Roman" w:hAnsi="Times New Roman" w:cs="Times New Roman"/>
          <w:sz w:val="28"/>
          <w:szCs w:val="28"/>
        </w:rPr>
        <w:t>й</w:t>
      </w:r>
      <w:r w:rsidRPr="000160C5">
        <w:rPr>
          <w:rFonts w:ascii="Times New Roman" w:hAnsi="Times New Roman" w:cs="Times New Roman"/>
          <w:sz w:val="28"/>
          <w:szCs w:val="28"/>
        </w:rPr>
        <w:t xml:space="preserve">). Однако не любое общество, выпускающее указанные ценные бумаги, обязано раскрывать информацию. </w:t>
      </w:r>
      <w:r w:rsidR="00D82253" w:rsidRPr="000160C5">
        <w:rPr>
          <w:rFonts w:ascii="Times New Roman" w:hAnsi="Times New Roman" w:cs="Times New Roman"/>
          <w:sz w:val="28"/>
          <w:szCs w:val="28"/>
        </w:rPr>
        <w:t xml:space="preserve">Нормативно установлены </w:t>
      </w:r>
      <w:r w:rsidR="00176524" w:rsidRPr="000160C5">
        <w:rPr>
          <w:rFonts w:ascii="Times New Roman" w:hAnsi="Times New Roman" w:cs="Times New Roman"/>
          <w:sz w:val="28"/>
          <w:szCs w:val="28"/>
        </w:rPr>
        <w:t>определенные</w:t>
      </w:r>
      <w:r w:rsidR="00D82253" w:rsidRPr="000160C5">
        <w:rPr>
          <w:rFonts w:ascii="Times New Roman" w:hAnsi="Times New Roman" w:cs="Times New Roman"/>
          <w:sz w:val="28"/>
          <w:szCs w:val="28"/>
        </w:rPr>
        <w:t xml:space="preserve"> критерии, при соответствии которым эмитент подпадает под требование о раскрытии информации.</w:t>
      </w:r>
    </w:p>
    <w:p w:rsidR="00C66867" w:rsidRPr="000160C5" w:rsidRDefault="00176524"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Во-первых, </w:t>
      </w:r>
      <w:r w:rsidR="00D82253" w:rsidRPr="000160C5">
        <w:rPr>
          <w:rFonts w:ascii="Times New Roman" w:hAnsi="Times New Roman" w:cs="Times New Roman"/>
          <w:sz w:val="28"/>
          <w:szCs w:val="28"/>
        </w:rPr>
        <w:t>акционерны</w:t>
      </w:r>
      <w:r w:rsidRPr="000160C5">
        <w:rPr>
          <w:rFonts w:ascii="Times New Roman" w:hAnsi="Times New Roman" w:cs="Times New Roman"/>
          <w:sz w:val="28"/>
          <w:szCs w:val="28"/>
        </w:rPr>
        <w:t>е</w:t>
      </w:r>
      <w:r w:rsidR="00D82253" w:rsidRPr="000160C5">
        <w:rPr>
          <w:rFonts w:ascii="Times New Roman" w:hAnsi="Times New Roman" w:cs="Times New Roman"/>
          <w:sz w:val="28"/>
          <w:szCs w:val="28"/>
        </w:rPr>
        <w:t xml:space="preserve"> обществ</w:t>
      </w:r>
      <w:r w:rsidRPr="000160C5">
        <w:rPr>
          <w:rFonts w:ascii="Times New Roman" w:hAnsi="Times New Roman" w:cs="Times New Roman"/>
          <w:sz w:val="28"/>
          <w:szCs w:val="28"/>
        </w:rPr>
        <w:t>а</w:t>
      </w:r>
      <w:r w:rsidR="00D82253" w:rsidRPr="000160C5">
        <w:rPr>
          <w:rFonts w:ascii="Times New Roman" w:hAnsi="Times New Roman" w:cs="Times New Roman"/>
          <w:sz w:val="28"/>
          <w:szCs w:val="28"/>
        </w:rPr>
        <w:t xml:space="preserve"> обязан</w:t>
      </w:r>
      <w:r w:rsidRPr="000160C5">
        <w:rPr>
          <w:rFonts w:ascii="Times New Roman" w:hAnsi="Times New Roman" w:cs="Times New Roman"/>
          <w:sz w:val="28"/>
          <w:szCs w:val="28"/>
        </w:rPr>
        <w:t>ы</w:t>
      </w:r>
      <w:r w:rsidR="00D82253" w:rsidRPr="000160C5">
        <w:rPr>
          <w:rFonts w:ascii="Times New Roman" w:hAnsi="Times New Roman" w:cs="Times New Roman"/>
          <w:sz w:val="28"/>
          <w:szCs w:val="28"/>
        </w:rPr>
        <w:t xml:space="preserve"> раскры</w:t>
      </w:r>
      <w:r w:rsidRPr="000160C5">
        <w:rPr>
          <w:rFonts w:ascii="Times New Roman" w:hAnsi="Times New Roman" w:cs="Times New Roman"/>
          <w:sz w:val="28"/>
          <w:szCs w:val="28"/>
        </w:rPr>
        <w:t>вать</w:t>
      </w:r>
      <w:r w:rsidR="00D82253" w:rsidRPr="000160C5">
        <w:rPr>
          <w:rFonts w:ascii="Times New Roman" w:hAnsi="Times New Roman" w:cs="Times New Roman"/>
          <w:sz w:val="28"/>
          <w:szCs w:val="28"/>
        </w:rPr>
        <w:t xml:space="preserve">  информаци</w:t>
      </w:r>
      <w:r w:rsidRPr="000160C5">
        <w:rPr>
          <w:rFonts w:ascii="Times New Roman" w:hAnsi="Times New Roman" w:cs="Times New Roman"/>
          <w:sz w:val="28"/>
          <w:szCs w:val="28"/>
        </w:rPr>
        <w:t>ю в соответствии со статьей 92 Федерального закона «Об акционерных обществах»</w:t>
      </w:r>
      <w:r w:rsidRPr="000160C5">
        <w:rPr>
          <w:rStyle w:val="a9"/>
          <w:rFonts w:ascii="Times New Roman" w:hAnsi="Times New Roman" w:cs="Times New Roman"/>
          <w:sz w:val="28"/>
          <w:szCs w:val="28"/>
        </w:rPr>
        <w:footnoteReference w:id="9"/>
      </w:r>
      <w:r w:rsidRPr="000160C5">
        <w:rPr>
          <w:rFonts w:ascii="Times New Roman" w:hAnsi="Times New Roman" w:cs="Times New Roman"/>
          <w:sz w:val="28"/>
          <w:szCs w:val="28"/>
        </w:rPr>
        <w:t xml:space="preserve"> (далее – Закон об АО). </w:t>
      </w:r>
      <w:r w:rsidR="00C66867" w:rsidRPr="000160C5">
        <w:rPr>
          <w:rFonts w:ascii="Times New Roman" w:hAnsi="Times New Roman" w:cs="Times New Roman"/>
          <w:sz w:val="28"/>
          <w:szCs w:val="28"/>
        </w:rPr>
        <w:t xml:space="preserve">Данная обязанность распространяется на </w:t>
      </w:r>
      <w:r w:rsidR="00C66867" w:rsidRPr="000160C5">
        <w:rPr>
          <w:rFonts w:ascii="Times New Roman" w:hAnsi="Times New Roman" w:cs="Times New Roman"/>
          <w:sz w:val="28"/>
          <w:szCs w:val="28"/>
        </w:rPr>
        <w:lastRenderedPageBreak/>
        <w:t>з</w:t>
      </w:r>
      <w:r w:rsidR="008E6875" w:rsidRPr="000160C5">
        <w:rPr>
          <w:rFonts w:ascii="Times New Roman" w:hAnsi="Times New Roman" w:cs="Times New Roman"/>
          <w:sz w:val="28"/>
          <w:szCs w:val="28"/>
        </w:rPr>
        <w:t xml:space="preserve">акрытые акционерные общества (далее – ЗАО), осуществившие публичное размещение ценных бумаг, а также </w:t>
      </w:r>
      <w:r w:rsidR="00C66867" w:rsidRPr="000160C5">
        <w:rPr>
          <w:rFonts w:ascii="Times New Roman" w:hAnsi="Times New Roman" w:cs="Times New Roman"/>
          <w:sz w:val="28"/>
          <w:szCs w:val="28"/>
        </w:rPr>
        <w:t xml:space="preserve">все </w:t>
      </w:r>
      <w:r w:rsidR="008E6875" w:rsidRPr="000160C5">
        <w:rPr>
          <w:rFonts w:ascii="Times New Roman" w:hAnsi="Times New Roman" w:cs="Times New Roman"/>
          <w:sz w:val="28"/>
          <w:szCs w:val="28"/>
        </w:rPr>
        <w:t>открыт</w:t>
      </w:r>
      <w:r w:rsidR="002A6C2E" w:rsidRPr="000160C5">
        <w:rPr>
          <w:rFonts w:ascii="Times New Roman" w:hAnsi="Times New Roman" w:cs="Times New Roman"/>
          <w:sz w:val="28"/>
          <w:szCs w:val="28"/>
        </w:rPr>
        <w:t>ы</w:t>
      </w:r>
      <w:r w:rsidR="008E6875" w:rsidRPr="000160C5">
        <w:rPr>
          <w:rFonts w:ascii="Times New Roman" w:hAnsi="Times New Roman" w:cs="Times New Roman"/>
          <w:sz w:val="28"/>
          <w:szCs w:val="28"/>
        </w:rPr>
        <w:t>е акционерные общества (далее – ОАО) вне зависимости от публичного размещения выпущенных ценных бумаг</w:t>
      </w:r>
      <w:r w:rsidR="00C66867" w:rsidRPr="000160C5">
        <w:rPr>
          <w:rFonts w:ascii="Times New Roman" w:hAnsi="Times New Roman" w:cs="Times New Roman"/>
          <w:sz w:val="28"/>
          <w:szCs w:val="28"/>
        </w:rPr>
        <w:t>.</w:t>
      </w:r>
      <w:r w:rsidR="008E6875" w:rsidRPr="000160C5">
        <w:rPr>
          <w:rFonts w:ascii="Times New Roman" w:hAnsi="Times New Roman" w:cs="Times New Roman"/>
          <w:sz w:val="28"/>
          <w:szCs w:val="28"/>
        </w:rPr>
        <w:t xml:space="preserve"> </w:t>
      </w:r>
    </w:p>
    <w:p w:rsidR="00FD5EF4" w:rsidRPr="000160C5" w:rsidRDefault="00D82253"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Во-вторых, к</w:t>
      </w:r>
      <w:r w:rsidR="00F80BE4" w:rsidRPr="000160C5">
        <w:rPr>
          <w:rFonts w:ascii="Times New Roman" w:hAnsi="Times New Roman" w:cs="Times New Roman"/>
          <w:sz w:val="28"/>
          <w:szCs w:val="28"/>
        </w:rPr>
        <w:t xml:space="preserve">роме </w:t>
      </w:r>
      <w:r w:rsidRPr="000160C5">
        <w:rPr>
          <w:rFonts w:ascii="Times New Roman" w:hAnsi="Times New Roman" w:cs="Times New Roman"/>
          <w:sz w:val="28"/>
          <w:szCs w:val="28"/>
        </w:rPr>
        <w:t>обязательного раскрытия информации акционерными обществами</w:t>
      </w:r>
      <w:r w:rsidR="005F5E46" w:rsidRPr="000160C5">
        <w:rPr>
          <w:rFonts w:ascii="Times New Roman" w:hAnsi="Times New Roman" w:cs="Times New Roman"/>
          <w:sz w:val="28"/>
          <w:szCs w:val="28"/>
        </w:rPr>
        <w:t xml:space="preserve">, </w:t>
      </w:r>
      <w:r w:rsidR="00A54875" w:rsidRPr="000160C5">
        <w:rPr>
          <w:rFonts w:ascii="Times New Roman" w:hAnsi="Times New Roman" w:cs="Times New Roman"/>
          <w:sz w:val="28"/>
          <w:szCs w:val="28"/>
        </w:rPr>
        <w:t xml:space="preserve">в случае открытой подписки на ценные </w:t>
      </w:r>
      <w:proofErr w:type="gramStart"/>
      <w:r w:rsidR="00A54875" w:rsidRPr="000160C5">
        <w:rPr>
          <w:rFonts w:ascii="Times New Roman" w:hAnsi="Times New Roman" w:cs="Times New Roman"/>
          <w:sz w:val="28"/>
          <w:szCs w:val="28"/>
        </w:rPr>
        <w:t>бумаги</w:t>
      </w:r>
      <w:proofErr w:type="gramEnd"/>
      <w:r w:rsidR="00A54875" w:rsidRPr="000160C5">
        <w:rPr>
          <w:rFonts w:ascii="Times New Roman" w:hAnsi="Times New Roman" w:cs="Times New Roman"/>
          <w:sz w:val="28"/>
          <w:szCs w:val="28"/>
        </w:rPr>
        <w:t xml:space="preserve"> </w:t>
      </w:r>
      <w:r w:rsidR="00F80BE4" w:rsidRPr="000160C5">
        <w:rPr>
          <w:rFonts w:ascii="Times New Roman" w:hAnsi="Times New Roman" w:cs="Times New Roman"/>
          <w:sz w:val="28"/>
          <w:szCs w:val="28"/>
        </w:rPr>
        <w:t>как акционерных обществ, так и иных эмитентов</w:t>
      </w:r>
      <w:r w:rsidR="00A54875" w:rsidRPr="000160C5">
        <w:rPr>
          <w:rFonts w:ascii="Times New Roman" w:hAnsi="Times New Roman" w:cs="Times New Roman"/>
          <w:sz w:val="28"/>
          <w:szCs w:val="28"/>
        </w:rPr>
        <w:t xml:space="preserve"> у </w:t>
      </w:r>
      <w:r w:rsidR="00F80BE4" w:rsidRPr="000160C5">
        <w:rPr>
          <w:rFonts w:ascii="Times New Roman" w:hAnsi="Times New Roman" w:cs="Times New Roman"/>
          <w:sz w:val="28"/>
          <w:szCs w:val="28"/>
        </w:rPr>
        <w:t>последних</w:t>
      </w:r>
      <w:r w:rsidR="00A54875" w:rsidRPr="000160C5">
        <w:rPr>
          <w:rFonts w:ascii="Times New Roman" w:hAnsi="Times New Roman" w:cs="Times New Roman"/>
          <w:sz w:val="28"/>
          <w:szCs w:val="28"/>
        </w:rPr>
        <w:t xml:space="preserve"> возникает обязанность раскрывать</w:t>
      </w:r>
      <w:r w:rsidR="005F5E46" w:rsidRPr="000160C5">
        <w:rPr>
          <w:rFonts w:ascii="Times New Roman" w:hAnsi="Times New Roman" w:cs="Times New Roman"/>
          <w:sz w:val="28"/>
          <w:szCs w:val="28"/>
        </w:rPr>
        <w:t xml:space="preserve"> информацию</w:t>
      </w:r>
      <w:r w:rsidR="00F80BE4" w:rsidRPr="000160C5">
        <w:rPr>
          <w:rFonts w:ascii="Times New Roman" w:hAnsi="Times New Roman" w:cs="Times New Roman"/>
          <w:sz w:val="28"/>
          <w:szCs w:val="28"/>
        </w:rPr>
        <w:t xml:space="preserve"> </w:t>
      </w:r>
      <w:r w:rsidR="005F5E46" w:rsidRPr="000160C5">
        <w:rPr>
          <w:rFonts w:ascii="Times New Roman" w:hAnsi="Times New Roman" w:cs="Times New Roman"/>
          <w:sz w:val="28"/>
          <w:szCs w:val="28"/>
        </w:rPr>
        <w:t>на всех этапах эмиссии</w:t>
      </w:r>
      <w:r w:rsidR="00F80BE4" w:rsidRPr="000160C5">
        <w:rPr>
          <w:rFonts w:ascii="Times New Roman" w:hAnsi="Times New Roman" w:cs="Times New Roman"/>
          <w:sz w:val="28"/>
          <w:szCs w:val="28"/>
        </w:rPr>
        <w:t xml:space="preserve"> в</w:t>
      </w:r>
      <w:r w:rsidR="008D0A6D" w:rsidRPr="000160C5">
        <w:rPr>
          <w:rFonts w:ascii="Times New Roman" w:hAnsi="Times New Roman" w:cs="Times New Roman"/>
          <w:sz w:val="28"/>
          <w:szCs w:val="28"/>
        </w:rPr>
        <w:t xml:space="preserve"> тех</w:t>
      </w:r>
      <w:r w:rsidR="00F80BE4" w:rsidRPr="000160C5">
        <w:rPr>
          <w:rFonts w:ascii="Times New Roman" w:hAnsi="Times New Roman" w:cs="Times New Roman"/>
          <w:sz w:val="28"/>
          <w:szCs w:val="28"/>
        </w:rPr>
        <w:t xml:space="preserve"> случа</w:t>
      </w:r>
      <w:r w:rsidR="008D0A6D" w:rsidRPr="000160C5">
        <w:rPr>
          <w:rFonts w:ascii="Times New Roman" w:hAnsi="Times New Roman" w:cs="Times New Roman"/>
          <w:sz w:val="28"/>
          <w:szCs w:val="28"/>
        </w:rPr>
        <w:t>ях</w:t>
      </w:r>
      <w:r w:rsidR="002A6C2E" w:rsidRPr="000160C5">
        <w:rPr>
          <w:rFonts w:ascii="Times New Roman" w:hAnsi="Times New Roman" w:cs="Times New Roman"/>
          <w:sz w:val="28"/>
          <w:szCs w:val="28"/>
        </w:rPr>
        <w:t>, когда государственная регистрация выпуска ценных бумаг сопровождается</w:t>
      </w:r>
      <w:r w:rsidR="00F80BE4" w:rsidRPr="000160C5">
        <w:rPr>
          <w:rFonts w:ascii="Times New Roman" w:hAnsi="Times New Roman" w:cs="Times New Roman"/>
          <w:sz w:val="28"/>
          <w:szCs w:val="28"/>
        </w:rPr>
        <w:t xml:space="preserve"> регистраци</w:t>
      </w:r>
      <w:r w:rsidR="002A6C2E" w:rsidRPr="000160C5">
        <w:rPr>
          <w:rFonts w:ascii="Times New Roman" w:hAnsi="Times New Roman" w:cs="Times New Roman"/>
          <w:sz w:val="28"/>
          <w:szCs w:val="28"/>
        </w:rPr>
        <w:t>ей</w:t>
      </w:r>
      <w:r w:rsidR="00F80BE4" w:rsidRPr="000160C5">
        <w:rPr>
          <w:rFonts w:ascii="Times New Roman" w:hAnsi="Times New Roman" w:cs="Times New Roman"/>
          <w:sz w:val="28"/>
          <w:szCs w:val="28"/>
        </w:rPr>
        <w:t xml:space="preserve"> проспекта</w:t>
      </w:r>
      <w:r w:rsidR="002A6C2E" w:rsidRPr="000160C5">
        <w:rPr>
          <w:rFonts w:ascii="Times New Roman" w:hAnsi="Times New Roman" w:cs="Times New Roman"/>
          <w:sz w:val="28"/>
          <w:szCs w:val="28"/>
        </w:rPr>
        <w:t xml:space="preserve"> ценных бумаг</w:t>
      </w:r>
      <w:r w:rsidR="008D0A6D" w:rsidRPr="000160C5">
        <w:rPr>
          <w:rFonts w:ascii="Times New Roman" w:hAnsi="Times New Roman" w:cs="Times New Roman"/>
          <w:sz w:val="28"/>
          <w:szCs w:val="28"/>
        </w:rPr>
        <w:t xml:space="preserve">. </w:t>
      </w:r>
      <w:proofErr w:type="gramStart"/>
      <w:r w:rsidR="002639FA" w:rsidRPr="000160C5">
        <w:rPr>
          <w:rFonts w:ascii="Times New Roman" w:hAnsi="Times New Roman" w:cs="Times New Roman"/>
          <w:sz w:val="28"/>
          <w:szCs w:val="28"/>
        </w:rPr>
        <w:t>Стоит отметить, что в редакции Закона о РЦБ, действовавшей до принятия закона о внесении изменений от 29.12.2012 г. (далее – Закон № 282)</w:t>
      </w:r>
      <w:r w:rsidR="002639FA" w:rsidRPr="000160C5">
        <w:rPr>
          <w:rStyle w:val="a9"/>
          <w:rFonts w:ascii="Times New Roman" w:hAnsi="Times New Roman" w:cs="Times New Roman"/>
          <w:sz w:val="28"/>
          <w:szCs w:val="28"/>
        </w:rPr>
        <w:footnoteReference w:id="10"/>
      </w:r>
      <w:r w:rsidR="002639FA" w:rsidRPr="000160C5">
        <w:rPr>
          <w:rFonts w:ascii="Times New Roman" w:hAnsi="Times New Roman" w:cs="Times New Roman"/>
          <w:sz w:val="28"/>
          <w:szCs w:val="28"/>
        </w:rPr>
        <w:t>, в п</w:t>
      </w:r>
      <w:r w:rsidR="00F44627" w:rsidRPr="000160C5">
        <w:rPr>
          <w:rFonts w:ascii="Times New Roman" w:hAnsi="Times New Roman" w:cs="Times New Roman"/>
          <w:sz w:val="28"/>
          <w:szCs w:val="28"/>
        </w:rPr>
        <w:t>ункте</w:t>
      </w:r>
      <w:r w:rsidR="002639FA" w:rsidRPr="000160C5">
        <w:rPr>
          <w:rFonts w:ascii="Times New Roman" w:hAnsi="Times New Roman" w:cs="Times New Roman"/>
          <w:sz w:val="28"/>
          <w:szCs w:val="28"/>
        </w:rPr>
        <w:t xml:space="preserve"> 2 ст</w:t>
      </w:r>
      <w:r w:rsidR="00F44627" w:rsidRPr="000160C5">
        <w:rPr>
          <w:rFonts w:ascii="Times New Roman" w:hAnsi="Times New Roman" w:cs="Times New Roman"/>
          <w:sz w:val="28"/>
          <w:szCs w:val="28"/>
        </w:rPr>
        <w:t>атьи</w:t>
      </w:r>
      <w:r w:rsidR="002639FA" w:rsidRPr="000160C5">
        <w:rPr>
          <w:rFonts w:ascii="Times New Roman" w:hAnsi="Times New Roman" w:cs="Times New Roman"/>
          <w:sz w:val="28"/>
          <w:szCs w:val="28"/>
        </w:rPr>
        <w:t xml:space="preserve"> 19 определялись случаи сопровождения выпуска ценных бумаг регистрацией проспекта: в случае размещения эмиссионных ценных бумаг путем открытой подписки или путем закрытой подписки среди круга лиц, число которых превышает 500. </w:t>
      </w:r>
      <w:proofErr w:type="gramEnd"/>
    </w:p>
    <w:p w:rsidR="002639FA" w:rsidRPr="000160C5" w:rsidRDefault="002639FA" w:rsidP="005901E8">
      <w:pPr>
        <w:keepNext/>
        <w:widowControl w:val="0"/>
        <w:spacing w:after="0" w:line="360" w:lineRule="auto"/>
        <w:ind w:firstLine="709"/>
        <w:contextualSpacing/>
        <w:jc w:val="both"/>
        <w:rPr>
          <w:rFonts w:ascii="Times New Roman" w:hAnsi="Times New Roman" w:cs="Times New Roman"/>
          <w:sz w:val="28"/>
          <w:szCs w:val="28"/>
        </w:rPr>
      </w:pPr>
      <w:proofErr w:type="gramStart"/>
      <w:r w:rsidRPr="000160C5">
        <w:rPr>
          <w:rFonts w:ascii="Times New Roman" w:hAnsi="Times New Roman" w:cs="Times New Roman"/>
          <w:sz w:val="28"/>
          <w:szCs w:val="28"/>
        </w:rPr>
        <w:t xml:space="preserve">С принятием Закона № 282 указанный пункт утратил силу, однако нормы, которые определяют новый порядок определения случаев обязательной регистрации проспекта для эмитентов, вступят только со 02.07.2013 г. </w:t>
      </w:r>
      <w:r w:rsidR="00FC14A6" w:rsidRPr="000160C5">
        <w:rPr>
          <w:rFonts w:ascii="Times New Roman" w:hAnsi="Times New Roman" w:cs="Times New Roman"/>
          <w:sz w:val="28"/>
          <w:szCs w:val="28"/>
        </w:rPr>
        <w:t>Н</w:t>
      </w:r>
      <w:r w:rsidRPr="000160C5">
        <w:rPr>
          <w:rFonts w:ascii="Times New Roman" w:hAnsi="Times New Roman" w:cs="Times New Roman"/>
          <w:sz w:val="28"/>
          <w:szCs w:val="28"/>
        </w:rPr>
        <w:t>ов</w:t>
      </w:r>
      <w:r w:rsidR="00FC14A6" w:rsidRPr="000160C5">
        <w:rPr>
          <w:rFonts w:ascii="Times New Roman" w:hAnsi="Times New Roman" w:cs="Times New Roman"/>
          <w:sz w:val="28"/>
          <w:szCs w:val="28"/>
        </w:rPr>
        <w:t>ый</w:t>
      </w:r>
      <w:r w:rsidRPr="000160C5">
        <w:rPr>
          <w:rFonts w:ascii="Times New Roman" w:hAnsi="Times New Roman" w:cs="Times New Roman"/>
          <w:sz w:val="28"/>
          <w:szCs w:val="28"/>
        </w:rPr>
        <w:t xml:space="preserve"> поряд</w:t>
      </w:r>
      <w:r w:rsidR="00FC14A6" w:rsidRPr="000160C5">
        <w:rPr>
          <w:rFonts w:ascii="Times New Roman" w:hAnsi="Times New Roman" w:cs="Times New Roman"/>
          <w:sz w:val="28"/>
          <w:szCs w:val="28"/>
        </w:rPr>
        <w:t xml:space="preserve">ок содержит общее требование о </w:t>
      </w:r>
      <w:r w:rsidRPr="000160C5">
        <w:rPr>
          <w:rFonts w:ascii="Times New Roman" w:hAnsi="Times New Roman" w:cs="Times New Roman"/>
          <w:sz w:val="28"/>
          <w:szCs w:val="28"/>
        </w:rPr>
        <w:t xml:space="preserve"> регистраци</w:t>
      </w:r>
      <w:r w:rsidR="00FC14A6" w:rsidRPr="000160C5">
        <w:rPr>
          <w:rFonts w:ascii="Times New Roman" w:hAnsi="Times New Roman" w:cs="Times New Roman"/>
          <w:sz w:val="28"/>
          <w:szCs w:val="28"/>
        </w:rPr>
        <w:t>и</w:t>
      </w:r>
      <w:r w:rsidRPr="000160C5">
        <w:rPr>
          <w:rFonts w:ascii="Times New Roman" w:hAnsi="Times New Roman" w:cs="Times New Roman"/>
          <w:sz w:val="28"/>
          <w:szCs w:val="28"/>
        </w:rPr>
        <w:t xml:space="preserve"> проспекта</w:t>
      </w:r>
      <w:r w:rsidR="00FC14A6" w:rsidRPr="000160C5">
        <w:rPr>
          <w:rFonts w:ascii="Times New Roman" w:hAnsi="Times New Roman" w:cs="Times New Roman"/>
          <w:sz w:val="28"/>
          <w:szCs w:val="28"/>
        </w:rPr>
        <w:t xml:space="preserve"> в случае </w:t>
      </w:r>
      <w:r w:rsidRPr="000160C5">
        <w:rPr>
          <w:rFonts w:ascii="Times New Roman" w:hAnsi="Times New Roman" w:cs="Times New Roman"/>
          <w:sz w:val="28"/>
          <w:szCs w:val="28"/>
        </w:rPr>
        <w:t>размещ</w:t>
      </w:r>
      <w:r w:rsidR="00FC14A6" w:rsidRPr="000160C5">
        <w:rPr>
          <w:rFonts w:ascii="Times New Roman" w:hAnsi="Times New Roman" w:cs="Times New Roman"/>
          <w:sz w:val="28"/>
          <w:szCs w:val="28"/>
        </w:rPr>
        <w:t xml:space="preserve">ения ценных бумаг </w:t>
      </w:r>
      <w:r w:rsidRPr="000160C5">
        <w:rPr>
          <w:rFonts w:ascii="Times New Roman" w:hAnsi="Times New Roman" w:cs="Times New Roman"/>
          <w:sz w:val="28"/>
          <w:szCs w:val="28"/>
        </w:rPr>
        <w:t xml:space="preserve"> путем </w:t>
      </w:r>
      <w:r w:rsidRPr="000160C5">
        <w:rPr>
          <w:rFonts w:ascii="Times New Roman" w:hAnsi="Times New Roman" w:cs="Times New Roman"/>
          <w:i/>
          <w:sz w:val="28"/>
          <w:szCs w:val="28"/>
        </w:rPr>
        <w:t>подписки</w:t>
      </w:r>
      <w:r w:rsidRPr="000160C5">
        <w:rPr>
          <w:rFonts w:ascii="Times New Roman" w:hAnsi="Times New Roman" w:cs="Times New Roman"/>
          <w:sz w:val="28"/>
          <w:szCs w:val="28"/>
        </w:rPr>
        <w:t xml:space="preserve">, за исключением семи случаев, </w:t>
      </w:r>
      <w:r w:rsidR="00FD5EF4" w:rsidRPr="000160C5">
        <w:rPr>
          <w:rFonts w:ascii="Times New Roman" w:hAnsi="Times New Roman" w:cs="Times New Roman"/>
          <w:sz w:val="28"/>
          <w:szCs w:val="28"/>
        </w:rPr>
        <w:t>достаточно формально определенных</w:t>
      </w:r>
      <w:r w:rsidRPr="000160C5">
        <w:rPr>
          <w:rFonts w:ascii="Times New Roman" w:hAnsi="Times New Roman" w:cs="Times New Roman"/>
          <w:sz w:val="28"/>
          <w:szCs w:val="28"/>
        </w:rPr>
        <w:t xml:space="preserve"> в законе</w:t>
      </w:r>
      <w:r w:rsidR="0024198C" w:rsidRPr="000160C5">
        <w:rPr>
          <w:rFonts w:ascii="Times New Roman" w:hAnsi="Times New Roman" w:cs="Times New Roman"/>
          <w:sz w:val="28"/>
          <w:szCs w:val="28"/>
        </w:rPr>
        <w:t xml:space="preserve"> (в том числе, </w:t>
      </w:r>
      <w:r w:rsidR="00FD5EF4" w:rsidRPr="000160C5">
        <w:rPr>
          <w:rFonts w:ascii="Times New Roman" w:hAnsi="Times New Roman" w:cs="Times New Roman"/>
          <w:sz w:val="28"/>
          <w:szCs w:val="28"/>
        </w:rPr>
        <w:t xml:space="preserve">например, </w:t>
      </w:r>
      <w:r w:rsidR="0024198C" w:rsidRPr="000160C5">
        <w:rPr>
          <w:rFonts w:ascii="Times New Roman" w:hAnsi="Times New Roman" w:cs="Times New Roman"/>
          <w:sz w:val="28"/>
          <w:szCs w:val="28"/>
        </w:rPr>
        <w:t>когда сумма привлекаемых эмитентом денежных средств</w:t>
      </w:r>
      <w:proofErr w:type="gramEnd"/>
      <w:r w:rsidR="0024198C" w:rsidRPr="000160C5">
        <w:rPr>
          <w:rFonts w:ascii="Times New Roman" w:hAnsi="Times New Roman" w:cs="Times New Roman"/>
          <w:sz w:val="28"/>
          <w:szCs w:val="28"/>
        </w:rPr>
        <w:t xml:space="preserve"> не превышает 200 млн. рублей за год)</w:t>
      </w:r>
      <w:r w:rsidRPr="000160C5">
        <w:rPr>
          <w:rFonts w:ascii="Times New Roman" w:hAnsi="Times New Roman" w:cs="Times New Roman"/>
          <w:sz w:val="28"/>
          <w:szCs w:val="28"/>
        </w:rPr>
        <w:t xml:space="preserve">. </w:t>
      </w:r>
    </w:p>
    <w:p w:rsidR="00427589" w:rsidRPr="000160C5" w:rsidRDefault="00D82253"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В-третьих, у некоторых эмитентов существует обязанность по периодическому раскрытию информации</w:t>
      </w:r>
      <w:r w:rsidR="00427589" w:rsidRPr="000160C5">
        <w:rPr>
          <w:rFonts w:ascii="Times New Roman" w:hAnsi="Times New Roman" w:cs="Times New Roman"/>
          <w:sz w:val="28"/>
          <w:szCs w:val="28"/>
        </w:rPr>
        <w:t xml:space="preserve"> (в форме ежеквартальных отчетов, сообщений о существенных фактах</w:t>
      </w:r>
      <w:r w:rsidR="0025757D" w:rsidRPr="000160C5">
        <w:rPr>
          <w:rFonts w:ascii="Times New Roman" w:hAnsi="Times New Roman" w:cs="Times New Roman"/>
          <w:sz w:val="28"/>
          <w:szCs w:val="28"/>
        </w:rPr>
        <w:t>, св</w:t>
      </w:r>
      <w:r w:rsidRPr="000160C5">
        <w:rPr>
          <w:rFonts w:ascii="Times New Roman" w:hAnsi="Times New Roman" w:cs="Times New Roman"/>
          <w:sz w:val="28"/>
          <w:szCs w:val="28"/>
        </w:rPr>
        <w:t>одной бухгалтерской отчетности</w:t>
      </w:r>
      <w:r w:rsidR="00C66867" w:rsidRPr="000160C5">
        <w:rPr>
          <w:rFonts w:ascii="Times New Roman" w:hAnsi="Times New Roman" w:cs="Times New Roman"/>
          <w:sz w:val="28"/>
          <w:szCs w:val="28"/>
        </w:rPr>
        <w:t xml:space="preserve"> и пр.</w:t>
      </w:r>
      <w:r w:rsidRPr="000160C5">
        <w:rPr>
          <w:rFonts w:ascii="Times New Roman" w:hAnsi="Times New Roman" w:cs="Times New Roman"/>
          <w:sz w:val="28"/>
          <w:szCs w:val="28"/>
        </w:rPr>
        <w:t>).</w:t>
      </w:r>
      <w:r w:rsidR="0025757D" w:rsidRPr="000160C5">
        <w:rPr>
          <w:rFonts w:ascii="Times New Roman" w:hAnsi="Times New Roman" w:cs="Times New Roman"/>
          <w:sz w:val="28"/>
          <w:szCs w:val="28"/>
        </w:rPr>
        <w:t xml:space="preserve"> </w:t>
      </w:r>
      <w:r w:rsidRPr="000160C5">
        <w:rPr>
          <w:rFonts w:ascii="Times New Roman" w:hAnsi="Times New Roman" w:cs="Times New Roman"/>
          <w:sz w:val="28"/>
          <w:szCs w:val="28"/>
        </w:rPr>
        <w:t>В</w:t>
      </w:r>
      <w:r w:rsidR="003535C4" w:rsidRPr="000160C5">
        <w:rPr>
          <w:rFonts w:ascii="Times New Roman" w:hAnsi="Times New Roman" w:cs="Times New Roman"/>
          <w:sz w:val="28"/>
          <w:szCs w:val="28"/>
        </w:rPr>
        <w:t xml:space="preserve"> соответствии с Положением о раскрытии информации</w:t>
      </w:r>
      <w:r w:rsidR="00F44627" w:rsidRPr="000160C5">
        <w:rPr>
          <w:rFonts w:ascii="Times New Roman" w:hAnsi="Times New Roman" w:cs="Times New Roman"/>
          <w:sz w:val="28"/>
          <w:szCs w:val="28"/>
        </w:rPr>
        <w:t xml:space="preserve"> эмитентами </w:t>
      </w:r>
      <w:r w:rsidR="00F44627" w:rsidRPr="000160C5">
        <w:rPr>
          <w:rFonts w:ascii="Times New Roman" w:hAnsi="Times New Roman" w:cs="Times New Roman"/>
          <w:sz w:val="28"/>
          <w:szCs w:val="28"/>
        </w:rPr>
        <w:lastRenderedPageBreak/>
        <w:t>эмиссионных ценных бумаг</w:t>
      </w:r>
      <w:r w:rsidR="00F44627" w:rsidRPr="000160C5">
        <w:rPr>
          <w:rStyle w:val="a9"/>
          <w:rFonts w:ascii="Times New Roman" w:hAnsi="Times New Roman" w:cs="Times New Roman"/>
          <w:sz w:val="28"/>
          <w:szCs w:val="28"/>
        </w:rPr>
        <w:footnoteReference w:id="11"/>
      </w:r>
      <w:r w:rsidR="00F44627" w:rsidRPr="000160C5">
        <w:rPr>
          <w:rFonts w:ascii="Times New Roman" w:hAnsi="Times New Roman" w:cs="Times New Roman"/>
          <w:sz w:val="28"/>
          <w:szCs w:val="28"/>
        </w:rPr>
        <w:t xml:space="preserve"> (далее - Положение о раскрытии информации)</w:t>
      </w:r>
      <w:r w:rsidR="003535C4" w:rsidRPr="000160C5">
        <w:rPr>
          <w:rFonts w:ascii="Times New Roman" w:hAnsi="Times New Roman" w:cs="Times New Roman"/>
          <w:sz w:val="28"/>
          <w:szCs w:val="28"/>
        </w:rPr>
        <w:t xml:space="preserve"> </w:t>
      </w:r>
      <w:r w:rsidR="0025757D" w:rsidRPr="000160C5">
        <w:rPr>
          <w:rFonts w:ascii="Times New Roman" w:hAnsi="Times New Roman" w:cs="Times New Roman"/>
          <w:sz w:val="28"/>
          <w:szCs w:val="28"/>
        </w:rPr>
        <w:t xml:space="preserve">данная обязанность распространяется: </w:t>
      </w:r>
    </w:p>
    <w:p w:rsidR="0025757D" w:rsidRPr="000160C5" w:rsidRDefault="0025757D"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1) на эмитентов, в отношении ценных бумаг которых осуществлена регистрация хотя бы одного проспекта ценных бумаг;</w:t>
      </w:r>
    </w:p>
    <w:p w:rsidR="0025757D" w:rsidRPr="000160C5" w:rsidRDefault="0025757D"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 2) на эмитентов, государственная регистрация хотя бы одного выпуска (дополнительного выпуска) ценных </w:t>
      </w:r>
      <w:proofErr w:type="gramStart"/>
      <w:r w:rsidRPr="000160C5">
        <w:rPr>
          <w:rFonts w:ascii="Times New Roman" w:hAnsi="Times New Roman" w:cs="Times New Roman"/>
          <w:sz w:val="28"/>
          <w:szCs w:val="28"/>
        </w:rPr>
        <w:t>бумаг</w:t>
      </w:r>
      <w:proofErr w:type="gramEnd"/>
      <w:r w:rsidRPr="000160C5">
        <w:rPr>
          <w:rFonts w:ascii="Times New Roman" w:hAnsi="Times New Roman" w:cs="Times New Roman"/>
          <w:sz w:val="28"/>
          <w:szCs w:val="28"/>
        </w:rPr>
        <w:t xml:space="preserve"> которых сопровождалась регистрацией проспекта эмиссии ценных бумаг в случае размещения таких ценных бумаг путем открытой подписки или путем закрытой подписки среди круга лиц, число которых превышало 500;</w:t>
      </w:r>
    </w:p>
    <w:p w:rsidR="0025757D" w:rsidRPr="000160C5" w:rsidRDefault="0025757D"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3) на </w:t>
      </w:r>
      <w:r w:rsidR="00305F0D" w:rsidRPr="000160C5">
        <w:rPr>
          <w:rFonts w:ascii="Times New Roman" w:hAnsi="Times New Roman" w:cs="Times New Roman"/>
          <w:sz w:val="28"/>
          <w:szCs w:val="28"/>
        </w:rPr>
        <w:t>созданные при приватизации акционерные общества</w:t>
      </w:r>
      <w:r w:rsidRPr="000160C5">
        <w:rPr>
          <w:rFonts w:ascii="Times New Roman" w:hAnsi="Times New Roman" w:cs="Times New Roman"/>
          <w:sz w:val="28"/>
          <w:szCs w:val="28"/>
        </w:rPr>
        <w:t>, если план приватизации предусматривал возможность отчуждения акций эмитента более чем 500 приобретателям либо неограниченному кругу лиц;</w:t>
      </w:r>
    </w:p>
    <w:p w:rsidR="0025757D" w:rsidRPr="000160C5" w:rsidRDefault="0025757D"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4) на эмитентов, биржевые облигации которых допущены к торгам на фондовой бирже.</w:t>
      </w:r>
    </w:p>
    <w:p w:rsidR="00D82253" w:rsidRPr="000160C5" w:rsidRDefault="00D82253"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Приведенные критерии позволяют </w:t>
      </w:r>
      <w:r w:rsidR="00C66867" w:rsidRPr="000160C5">
        <w:rPr>
          <w:rFonts w:ascii="Times New Roman" w:hAnsi="Times New Roman" w:cs="Times New Roman"/>
          <w:sz w:val="28"/>
          <w:szCs w:val="28"/>
        </w:rPr>
        <w:t>сделать обобщение</w:t>
      </w:r>
      <w:r w:rsidRPr="000160C5">
        <w:rPr>
          <w:rFonts w:ascii="Times New Roman" w:hAnsi="Times New Roman" w:cs="Times New Roman"/>
          <w:sz w:val="28"/>
          <w:szCs w:val="28"/>
        </w:rPr>
        <w:t xml:space="preserve"> и вывести единый критерий </w:t>
      </w:r>
      <w:r w:rsidR="00C66867" w:rsidRPr="000160C5">
        <w:rPr>
          <w:rFonts w:ascii="Times New Roman" w:hAnsi="Times New Roman" w:cs="Times New Roman"/>
          <w:sz w:val="28"/>
          <w:szCs w:val="28"/>
        </w:rPr>
        <w:t xml:space="preserve">необходимости периодического раскрытия информации - </w:t>
      </w:r>
      <w:r w:rsidRPr="000160C5">
        <w:rPr>
          <w:rFonts w:ascii="Times New Roman" w:hAnsi="Times New Roman" w:cs="Times New Roman"/>
          <w:sz w:val="28"/>
          <w:szCs w:val="28"/>
        </w:rPr>
        <w:t>публично</w:t>
      </w:r>
      <w:r w:rsidR="00C66867" w:rsidRPr="000160C5">
        <w:rPr>
          <w:rFonts w:ascii="Times New Roman" w:hAnsi="Times New Roman" w:cs="Times New Roman"/>
          <w:sz w:val="28"/>
          <w:szCs w:val="28"/>
        </w:rPr>
        <w:t>е</w:t>
      </w:r>
      <w:r w:rsidRPr="000160C5">
        <w:rPr>
          <w:rFonts w:ascii="Times New Roman" w:hAnsi="Times New Roman" w:cs="Times New Roman"/>
          <w:sz w:val="28"/>
          <w:szCs w:val="28"/>
        </w:rPr>
        <w:t xml:space="preserve"> обращения ценных бумаг</w:t>
      </w:r>
      <w:r w:rsidR="00C66867" w:rsidRPr="000160C5">
        <w:rPr>
          <w:rFonts w:ascii="Times New Roman" w:hAnsi="Times New Roman" w:cs="Times New Roman"/>
          <w:sz w:val="28"/>
          <w:szCs w:val="28"/>
        </w:rPr>
        <w:t>, выпущенных эмитентом</w:t>
      </w:r>
      <w:r w:rsidRPr="000160C5">
        <w:rPr>
          <w:rFonts w:ascii="Times New Roman" w:hAnsi="Times New Roman" w:cs="Times New Roman"/>
          <w:sz w:val="28"/>
          <w:szCs w:val="28"/>
        </w:rPr>
        <w:t xml:space="preserve">. </w:t>
      </w:r>
    </w:p>
    <w:p w:rsidR="00ED4EDC" w:rsidRPr="000160C5" w:rsidRDefault="00251FDA"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Обязанность по </w:t>
      </w:r>
      <w:r w:rsidR="00D869E7" w:rsidRPr="000160C5">
        <w:rPr>
          <w:rFonts w:ascii="Times New Roman" w:hAnsi="Times New Roman" w:cs="Times New Roman"/>
          <w:sz w:val="28"/>
          <w:szCs w:val="28"/>
        </w:rPr>
        <w:t xml:space="preserve">периодическому </w:t>
      </w:r>
      <w:r w:rsidRPr="000160C5">
        <w:rPr>
          <w:rFonts w:ascii="Times New Roman" w:hAnsi="Times New Roman" w:cs="Times New Roman"/>
          <w:sz w:val="28"/>
          <w:szCs w:val="28"/>
        </w:rPr>
        <w:t xml:space="preserve">раскрытию информации эмитентами существует до тех пор, пока </w:t>
      </w:r>
      <w:r w:rsidR="00C1735C" w:rsidRPr="000160C5">
        <w:rPr>
          <w:rFonts w:ascii="Times New Roman" w:hAnsi="Times New Roman" w:cs="Times New Roman"/>
          <w:sz w:val="28"/>
          <w:szCs w:val="28"/>
        </w:rPr>
        <w:t>ценные бумаги</w:t>
      </w:r>
      <w:r w:rsidR="005C598E" w:rsidRPr="000160C5">
        <w:rPr>
          <w:rFonts w:ascii="Times New Roman" w:hAnsi="Times New Roman" w:cs="Times New Roman"/>
          <w:sz w:val="28"/>
          <w:szCs w:val="28"/>
        </w:rPr>
        <w:t xml:space="preserve"> «существуют» </w:t>
      </w:r>
      <w:r w:rsidR="00C1735C" w:rsidRPr="000160C5">
        <w:rPr>
          <w:rFonts w:ascii="Times New Roman" w:hAnsi="Times New Roman" w:cs="Times New Roman"/>
          <w:sz w:val="28"/>
          <w:szCs w:val="28"/>
        </w:rPr>
        <w:t xml:space="preserve">в обращении, то есть до погашения ценных бумаг или до принятия решения ФСФР/вступления в силу решения суда о признании выпуска ценных бумаг или проспекта, зарегистрированного после отчета об итогах выпуска, несостоявшимся/недействительным. </w:t>
      </w:r>
    </w:p>
    <w:p w:rsidR="00ED4EDC" w:rsidRPr="000160C5" w:rsidRDefault="00C1735C" w:rsidP="005901E8">
      <w:pPr>
        <w:keepNext/>
        <w:widowControl w:val="0"/>
        <w:spacing w:after="0" w:line="360" w:lineRule="auto"/>
        <w:ind w:firstLine="709"/>
        <w:contextualSpacing/>
        <w:jc w:val="both"/>
        <w:rPr>
          <w:rFonts w:ascii="Times New Roman" w:hAnsi="Times New Roman" w:cs="Times New Roman"/>
          <w:sz w:val="28"/>
          <w:szCs w:val="28"/>
        </w:rPr>
      </w:pPr>
      <w:proofErr w:type="gramStart"/>
      <w:r w:rsidRPr="000160C5">
        <w:rPr>
          <w:rFonts w:ascii="Times New Roman" w:hAnsi="Times New Roman" w:cs="Times New Roman"/>
          <w:sz w:val="28"/>
          <w:szCs w:val="28"/>
        </w:rPr>
        <w:t xml:space="preserve">Несостоявшимся выпуск ценных бумаг/проспект </w:t>
      </w:r>
      <w:r w:rsidR="00DC4D06" w:rsidRPr="000160C5">
        <w:rPr>
          <w:rFonts w:ascii="Times New Roman" w:hAnsi="Times New Roman" w:cs="Times New Roman"/>
          <w:sz w:val="28"/>
          <w:szCs w:val="28"/>
        </w:rPr>
        <w:t>может быть признан</w:t>
      </w:r>
      <w:r w:rsidRPr="000160C5">
        <w:rPr>
          <w:rFonts w:ascii="Times New Roman" w:hAnsi="Times New Roman" w:cs="Times New Roman"/>
          <w:sz w:val="28"/>
          <w:szCs w:val="28"/>
        </w:rPr>
        <w:t xml:space="preserve"> по решению ФСФР до регистрации отчета об итогах выпуска</w:t>
      </w:r>
      <w:r w:rsidR="00D869E7" w:rsidRPr="000160C5">
        <w:rPr>
          <w:rFonts w:ascii="Times New Roman" w:hAnsi="Times New Roman" w:cs="Times New Roman"/>
          <w:sz w:val="28"/>
          <w:szCs w:val="28"/>
        </w:rPr>
        <w:t xml:space="preserve"> (то есть в ра</w:t>
      </w:r>
      <w:r w:rsidR="003B6767">
        <w:rPr>
          <w:rFonts w:ascii="Times New Roman" w:hAnsi="Times New Roman" w:cs="Times New Roman"/>
          <w:sz w:val="28"/>
          <w:szCs w:val="28"/>
        </w:rPr>
        <w:t>м</w:t>
      </w:r>
      <w:r w:rsidR="00D869E7" w:rsidRPr="000160C5">
        <w:rPr>
          <w:rFonts w:ascii="Times New Roman" w:hAnsi="Times New Roman" w:cs="Times New Roman"/>
          <w:sz w:val="28"/>
          <w:szCs w:val="28"/>
        </w:rPr>
        <w:t>ках процедуры эмиссии ценных бумаг)</w:t>
      </w:r>
      <w:r w:rsidR="0007706B" w:rsidRPr="000160C5">
        <w:rPr>
          <w:rFonts w:ascii="Times New Roman" w:hAnsi="Times New Roman" w:cs="Times New Roman"/>
          <w:sz w:val="28"/>
          <w:szCs w:val="28"/>
        </w:rPr>
        <w:t>, недействительным – по решению суда по иску ФСФР, ФНС или участника (акционера) эмитента</w:t>
      </w:r>
      <w:r w:rsidR="00D869E7" w:rsidRPr="000160C5">
        <w:rPr>
          <w:rFonts w:ascii="Times New Roman" w:hAnsi="Times New Roman" w:cs="Times New Roman"/>
          <w:sz w:val="28"/>
          <w:szCs w:val="28"/>
        </w:rPr>
        <w:t xml:space="preserve"> после регистрации отчета </w:t>
      </w:r>
      <w:r w:rsidR="00DC4D06" w:rsidRPr="000160C5">
        <w:rPr>
          <w:rFonts w:ascii="Times New Roman" w:hAnsi="Times New Roman" w:cs="Times New Roman"/>
          <w:sz w:val="28"/>
          <w:szCs w:val="28"/>
        </w:rPr>
        <w:t xml:space="preserve">об итогах выпуска </w:t>
      </w:r>
      <w:r w:rsidR="00D869E7" w:rsidRPr="000160C5">
        <w:rPr>
          <w:rFonts w:ascii="Times New Roman" w:hAnsi="Times New Roman" w:cs="Times New Roman"/>
          <w:sz w:val="28"/>
          <w:szCs w:val="28"/>
        </w:rPr>
        <w:t>в рамках срока исковой давности</w:t>
      </w:r>
      <w:r w:rsidR="00DC4D06" w:rsidRPr="000160C5">
        <w:rPr>
          <w:rFonts w:ascii="Times New Roman" w:hAnsi="Times New Roman" w:cs="Times New Roman"/>
          <w:sz w:val="28"/>
          <w:szCs w:val="28"/>
        </w:rPr>
        <w:t>,</w:t>
      </w:r>
      <w:r w:rsidR="00D869E7" w:rsidRPr="000160C5">
        <w:rPr>
          <w:rFonts w:ascii="Times New Roman" w:hAnsi="Times New Roman" w:cs="Times New Roman"/>
          <w:sz w:val="28"/>
          <w:szCs w:val="28"/>
        </w:rPr>
        <w:t xml:space="preserve"> </w:t>
      </w:r>
      <w:r w:rsidR="00DC4D06" w:rsidRPr="000160C5">
        <w:rPr>
          <w:rFonts w:ascii="Times New Roman" w:hAnsi="Times New Roman" w:cs="Times New Roman"/>
          <w:sz w:val="28"/>
          <w:szCs w:val="28"/>
        </w:rPr>
        <w:lastRenderedPageBreak/>
        <w:t>равного трем месяцем</w:t>
      </w:r>
      <w:r w:rsidR="00F010E9" w:rsidRPr="000160C5">
        <w:rPr>
          <w:rFonts w:ascii="Times New Roman" w:hAnsi="Times New Roman" w:cs="Times New Roman"/>
          <w:sz w:val="28"/>
          <w:szCs w:val="28"/>
        </w:rPr>
        <w:t xml:space="preserve">. </w:t>
      </w:r>
      <w:proofErr w:type="gramEnd"/>
    </w:p>
    <w:p w:rsidR="00E85272" w:rsidRPr="000160C5" w:rsidRDefault="0089446E" w:rsidP="00ED4EDC">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Кроме того,</w:t>
      </w:r>
      <w:r w:rsidR="00F010E9" w:rsidRPr="000160C5">
        <w:rPr>
          <w:rFonts w:ascii="Times New Roman" w:hAnsi="Times New Roman" w:cs="Times New Roman"/>
          <w:sz w:val="28"/>
          <w:szCs w:val="28"/>
        </w:rPr>
        <w:t xml:space="preserve"> обязанность по раскрытию информацию прекращается с освобождением эмитента от раскрытия информации по решению ФСФР. </w:t>
      </w:r>
      <w:r w:rsidR="00E85272" w:rsidRPr="000160C5">
        <w:rPr>
          <w:rFonts w:ascii="Times New Roman" w:hAnsi="Times New Roman" w:cs="Times New Roman"/>
          <w:sz w:val="28"/>
          <w:szCs w:val="28"/>
        </w:rPr>
        <w:t>Эмитент</w:t>
      </w:r>
      <w:r w:rsidR="00880B02" w:rsidRPr="000160C5">
        <w:rPr>
          <w:rFonts w:ascii="Times New Roman" w:hAnsi="Times New Roman" w:cs="Times New Roman"/>
          <w:sz w:val="28"/>
          <w:szCs w:val="28"/>
        </w:rPr>
        <w:t>, являющийся акционерным обществом,</w:t>
      </w:r>
      <w:r w:rsidR="00E85272" w:rsidRPr="000160C5">
        <w:rPr>
          <w:rFonts w:ascii="Times New Roman" w:hAnsi="Times New Roman" w:cs="Times New Roman"/>
          <w:sz w:val="28"/>
          <w:szCs w:val="28"/>
        </w:rPr>
        <w:t xml:space="preserve"> может быть освобожден по решению ФСФР от обязанности раскрывать информацию в случае соответствия эмитента, подавшего соответствующее заявление в ФСФР, формальным критериям, закрепленным в </w:t>
      </w:r>
      <w:r w:rsidR="00880B02" w:rsidRPr="000160C5">
        <w:rPr>
          <w:rFonts w:ascii="Times New Roman" w:hAnsi="Times New Roman" w:cs="Times New Roman"/>
          <w:sz w:val="28"/>
          <w:szCs w:val="28"/>
        </w:rPr>
        <w:t>Приказе ФСФР</w:t>
      </w:r>
      <w:r w:rsidR="00880B02" w:rsidRPr="000160C5">
        <w:rPr>
          <w:rStyle w:val="a9"/>
          <w:rFonts w:ascii="Times New Roman" w:hAnsi="Times New Roman" w:cs="Times New Roman"/>
          <w:sz w:val="28"/>
          <w:szCs w:val="28"/>
        </w:rPr>
        <w:footnoteReference w:id="12"/>
      </w:r>
      <w:r w:rsidR="00880B02" w:rsidRPr="000160C5">
        <w:rPr>
          <w:rFonts w:ascii="Times New Roman" w:hAnsi="Times New Roman" w:cs="Times New Roman"/>
          <w:sz w:val="28"/>
          <w:szCs w:val="28"/>
        </w:rPr>
        <w:t>.</w:t>
      </w:r>
      <w:r w:rsidR="00E85272" w:rsidRPr="000160C5">
        <w:rPr>
          <w:rFonts w:ascii="Times New Roman" w:hAnsi="Times New Roman" w:cs="Times New Roman"/>
          <w:sz w:val="28"/>
          <w:szCs w:val="28"/>
        </w:rPr>
        <w:t xml:space="preserve"> </w:t>
      </w:r>
    </w:p>
    <w:p w:rsidR="00E47477" w:rsidRPr="000160C5" w:rsidRDefault="008E2AE4" w:rsidP="005901E8">
      <w:pPr>
        <w:keepNext/>
        <w:widowControl w:val="0"/>
        <w:spacing w:after="0" w:line="360" w:lineRule="auto"/>
        <w:ind w:firstLine="709"/>
        <w:contextualSpacing/>
        <w:jc w:val="both"/>
        <w:rPr>
          <w:rFonts w:ascii="Times New Roman" w:hAnsi="Times New Roman" w:cs="Times New Roman"/>
          <w:sz w:val="28"/>
          <w:szCs w:val="28"/>
        </w:rPr>
      </w:pPr>
      <w:proofErr w:type="gramStart"/>
      <w:r w:rsidRPr="000160C5">
        <w:rPr>
          <w:rFonts w:ascii="Times New Roman" w:hAnsi="Times New Roman" w:cs="Times New Roman"/>
          <w:sz w:val="28"/>
          <w:szCs w:val="28"/>
        </w:rPr>
        <w:t xml:space="preserve">Законодательство США о рынке ценных бумаг предусматривает обязательность раскрытия информации при первоначальной подписке на </w:t>
      </w:r>
      <w:r w:rsidR="00E47477" w:rsidRPr="000160C5">
        <w:rPr>
          <w:rFonts w:ascii="Times New Roman" w:hAnsi="Times New Roman" w:cs="Times New Roman"/>
          <w:sz w:val="28"/>
          <w:szCs w:val="28"/>
        </w:rPr>
        <w:t>ценные бумаги</w:t>
      </w:r>
      <w:r w:rsidRPr="000160C5">
        <w:rPr>
          <w:rFonts w:ascii="Times New Roman" w:hAnsi="Times New Roman" w:cs="Times New Roman"/>
          <w:sz w:val="28"/>
          <w:szCs w:val="28"/>
        </w:rPr>
        <w:t xml:space="preserve"> (</w:t>
      </w:r>
      <w:r w:rsidR="00E47477" w:rsidRPr="000160C5">
        <w:rPr>
          <w:rFonts w:ascii="Times New Roman" w:hAnsi="Times New Roman" w:cs="Times New Roman"/>
          <w:sz w:val="28"/>
          <w:szCs w:val="28"/>
        </w:rPr>
        <w:t xml:space="preserve">при так </w:t>
      </w:r>
      <w:r w:rsidRPr="000160C5">
        <w:rPr>
          <w:rFonts w:ascii="Times New Roman" w:hAnsi="Times New Roman" w:cs="Times New Roman"/>
          <w:sz w:val="28"/>
          <w:szCs w:val="28"/>
        </w:rPr>
        <w:t>н</w:t>
      </w:r>
      <w:r w:rsidR="00E47477" w:rsidRPr="000160C5">
        <w:rPr>
          <w:rFonts w:ascii="Times New Roman" w:hAnsi="Times New Roman" w:cs="Times New Roman"/>
          <w:sz w:val="28"/>
          <w:szCs w:val="28"/>
        </w:rPr>
        <w:t>азываемом</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IPO</w:t>
      </w:r>
      <w:r w:rsidRPr="000160C5">
        <w:rPr>
          <w:rFonts w:ascii="Times New Roman" w:hAnsi="Times New Roman" w:cs="Times New Roman"/>
          <w:sz w:val="28"/>
          <w:szCs w:val="28"/>
        </w:rPr>
        <w:t>), а также при вторичной торговле ценными бумагами.</w:t>
      </w:r>
      <w:r w:rsidR="00E47477" w:rsidRPr="000160C5">
        <w:rPr>
          <w:rFonts w:ascii="Times New Roman" w:hAnsi="Times New Roman" w:cs="Times New Roman"/>
          <w:sz w:val="28"/>
          <w:szCs w:val="28"/>
        </w:rPr>
        <w:t xml:space="preserve"> </w:t>
      </w:r>
      <w:proofErr w:type="gramEnd"/>
    </w:p>
    <w:p w:rsidR="00FC0536" w:rsidRPr="000160C5" w:rsidRDefault="00B005A8"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Общее правило требует регистрации </w:t>
      </w:r>
      <w:r w:rsidR="00FC0536" w:rsidRPr="000160C5">
        <w:rPr>
          <w:rFonts w:ascii="Times New Roman" w:hAnsi="Times New Roman" w:cs="Times New Roman"/>
          <w:sz w:val="28"/>
          <w:szCs w:val="28"/>
        </w:rPr>
        <w:t xml:space="preserve">выпуска </w:t>
      </w:r>
      <w:r w:rsidRPr="000160C5">
        <w:rPr>
          <w:rFonts w:ascii="Times New Roman" w:hAnsi="Times New Roman" w:cs="Times New Roman"/>
          <w:sz w:val="28"/>
          <w:szCs w:val="28"/>
        </w:rPr>
        <w:t>ценных бумаг п</w:t>
      </w:r>
      <w:r w:rsidR="00E47477" w:rsidRPr="000160C5">
        <w:rPr>
          <w:rFonts w:ascii="Times New Roman" w:hAnsi="Times New Roman" w:cs="Times New Roman"/>
          <w:sz w:val="28"/>
          <w:szCs w:val="28"/>
        </w:rPr>
        <w:t>ри первоначальной подписке</w:t>
      </w:r>
      <w:r w:rsidRPr="000160C5">
        <w:rPr>
          <w:rFonts w:ascii="Times New Roman" w:hAnsi="Times New Roman" w:cs="Times New Roman"/>
          <w:sz w:val="28"/>
          <w:szCs w:val="28"/>
        </w:rPr>
        <w:t>:</w:t>
      </w:r>
      <w:r w:rsidR="00E47477" w:rsidRPr="000160C5">
        <w:rPr>
          <w:rFonts w:ascii="Times New Roman" w:hAnsi="Times New Roman" w:cs="Times New Roman"/>
          <w:sz w:val="28"/>
          <w:szCs w:val="28"/>
        </w:rPr>
        <w:t xml:space="preserve"> компания-эмитент обязана зарегистрировать ценные бумаги в Комиссии по ценным бумагам и биржам (</w:t>
      </w:r>
      <w:r w:rsidR="00E47477" w:rsidRPr="000160C5">
        <w:rPr>
          <w:rFonts w:ascii="Times New Roman" w:hAnsi="Times New Roman" w:cs="Times New Roman"/>
          <w:sz w:val="28"/>
          <w:szCs w:val="28"/>
          <w:lang w:val="en-US"/>
        </w:rPr>
        <w:t>the</w:t>
      </w:r>
      <w:r w:rsidR="00E47477" w:rsidRPr="000160C5">
        <w:rPr>
          <w:rFonts w:ascii="Times New Roman" w:hAnsi="Times New Roman" w:cs="Times New Roman"/>
          <w:sz w:val="28"/>
          <w:szCs w:val="28"/>
        </w:rPr>
        <w:t xml:space="preserve"> </w:t>
      </w:r>
      <w:r w:rsidR="00E47477" w:rsidRPr="000160C5">
        <w:rPr>
          <w:rFonts w:ascii="Times New Roman" w:hAnsi="Times New Roman" w:cs="Times New Roman"/>
          <w:sz w:val="28"/>
          <w:szCs w:val="28"/>
          <w:lang w:val="en-US"/>
        </w:rPr>
        <w:t>Securities</w:t>
      </w:r>
      <w:r w:rsidR="00E47477" w:rsidRPr="000160C5">
        <w:rPr>
          <w:rFonts w:ascii="Times New Roman" w:hAnsi="Times New Roman" w:cs="Times New Roman"/>
          <w:sz w:val="28"/>
          <w:szCs w:val="28"/>
        </w:rPr>
        <w:t xml:space="preserve"> </w:t>
      </w:r>
      <w:r w:rsidR="00E47477" w:rsidRPr="000160C5">
        <w:rPr>
          <w:rFonts w:ascii="Times New Roman" w:hAnsi="Times New Roman" w:cs="Times New Roman"/>
          <w:sz w:val="28"/>
          <w:szCs w:val="28"/>
          <w:lang w:val="en-US"/>
        </w:rPr>
        <w:t>and</w:t>
      </w:r>
      <w:r w:rsidR="00E47477" w:rsidRPr="000160C5">
        <w:rPr>
          <w:rFonts w:ascii="Times New Roman" w:hAnsi="Times New Roman" w:cs="Times New Roman"/>
          <w:sz w:val="28"/>
          <w:szCs w:val="28"/>
        </w:rPr>
        <w:t xml:space="preserve"> </w:t>
      </w:r>
      <w:r w:rsidR="00E47477" w:rsidRPr="000160C5">
        <w:rPr>
          <w:rFonts w:ascii="Times New Roman" w:hAnsi="Times New Roman" w:cs="Times New Roman"/>
          <w:sz w:val="28"/>
          <w:szCs w:val="28"/>
          <w:lang w:val="en-US"/>
        </w:rPr>
        <w:t>Exchange</w:t>
      </w:r>
      <w:r w:rsidR="00E47477" w:rsidRPr="000160C5">
        <w:rPr>
          <w:rFonts w:ascii="Times New Roman" w:hAnsi="Times New Roman" w:cs="Times New Roman"/>
          <w:sz w:val="28"/>
          <w:szCs w:val="28"/>
        </w:rPr>
        <w:t xml:space="preserve"> </w:t>
      </w:r>
      <w:r w:rsidR="00E47477" w:rsidRPr="000160C5">
        <w:rPr>
          <w:rFonts w:ascii="Times New Roman" w:hAnsi="Times New Roman" w:cs="Times New Roman"/>
          <w:sz w:val="28"/>
          <w:szCs w:val="28"/>
          <w:lang w:val="en-US"/>
        </w:rPr>
        <w:t>Commission</w:t>
      </w:r>
      <w:r w:rsidR="00E47477" w:rsidRPr="000160C5">
        <w:rPr>
          <w:rFonts w:ascii="Times New Roman" w:hAnsi="Times New Roman" w:cs="Times New Roman"/>
          <w:sz w:val="28"/>
          <w:szCs w:val="28"/>
        </w:rPr>
        <w:t>)</w:t>
      </w:r>
      <w:r w:rsidR="00FC0536" w:rsidRPr="000160C5">
        <w:rPr>
          <w:rFonts w:ascii="Times New Roman" w:hAnsi="Times New Roman" w:cs="Times New Roman"/>
          <w:sz w:val="28"/>
          <w:szCs w:val="28"/>
        </w:rPr>
        <w:t xml:space="preserve"> (далее – Комиссия США)</w:t>
      </w:r>
      <w:r w:rsidRPr="000160C5">
        <w:rPr>
          <w:rFonts w:ascii="Times New Roman" w:hAnsi="Times New Roman" w:cs="Times New Roman"/>
          <w:sz w:val="28"/>
          <w:szCs w:val="28"/>
        </w:rPr>
        <w:t xml:space="preserve">. </w:t>
      </w:r>
      <w:r w:rsidR="00FC0536" w:rsidRPr="000160C5">
        <w:rPr>
          <w:rFonts w:ascii="Times New Roman" w:hAnsi="Times New Roman" w:cs="Times New Roman"/>
          <w:sz w:val="28"/>
          <w:szCs w:val="28"/>
        </w:rPr>
        <w:t>Из</w:t>
      </w:r>
      <w:r w:rsidR="00225A32" w:rsidRPr="000160C5">
        <w:rPr>
          <w:rFonts w:ascii="Times New Roman" w:hAnsi="Times New Roman" w:cs="Times New Roman"/>
          <w:sz w:val="28"/>
          <w:szCs w:val="28"/>
        </w:rPr>
        <w:t xml:space="preserve"> общего правила предусмотрены исключения для определенных видов ценных бумаг, которые не подпадают под требование регистрации.</w:t>
      </w:r>
      <w:r w:rsidR="00E47477" w:rsidRPr="000160C5">
        <w:rPr>
          <w:rFonts w:ascii="Times New Roman" w:hAnsi="Times New Roman" w:cs="Times New Roman"/>
          <w:sz w:val="28"/>
          <w:szCs w:val="28"/>
        </w:rPr>
        <w:t xml:space="preserve"> Ценные бумаги, не подлежащие регистрации, перечислены в разделе 3 Закона о ценных бумагах 1933 года. </w:t>
      </w:r>
    </w:p>
    <w:p w:rsidR="00E524C5" w:rsidRPr="000160C5" w:rsidRDefault="00E47477"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Среди освобожденных от регистрации в </w:t>
      </w:r>
      <w:r w:rsidR="00196F2B" w:rsidRPr="000160C5">
        <w:rPr>
          <w:rFonts w:ascii="Times New Roman" w:hAnsi="Times New Roman" w:cs="Times New Roman"/>
          <w:sz w:val="28"/>
          <w:szCs w:val="28"/>
        </w:rPr>
        <w:t xml:space="preserve">Комиссии </w:t>
      </w:r>
      <w:proofErr w:type="gramStart"/>
      <w:r w:rsidR="00FC0536" w:rsidRPr="000160C5">
        <w:rPr>
          <w:rFonts w:ascii="Times New Roman" w:hAnsi="Times New Roman" w:cs="Times New Roman"/>
          <w:sz w:val="28"/>
          <w:szCs w:val="28"/>
        </w:rPr>
        <w:t>США</w:t>
      </w:r>
      <w:proofErr w:type="gramEnd"/>
      <w:r w:rsidR="00196F2B" w:rsidRPr="000160C5">
        <w:rPr>
          <w:rFonts w:ascii="Times New Roman" w:hAnsi="Times New Roman" w:cs="Times New Roman"/>
          <w:sz w:val="28"/>
          <w:szCs w:val="28"/>
        </w:rPr>
        <w:t xml:space="preserve"> следующие ценные бумаги: выпущенные государством, банком, страховой компанией или квалифицированным пенсионным фондом; некоторые краткосрочные ценные бумаги (сроком обращения до 9 месяцев); выпущенные некоммерческими организациями; выпущенные кредитными, строительными обществами, кооперативным банком</w:t>
      </w:r>
      <w:r w:rsidR="00190F1C" w:rsidRPr="000160C5">
        <w:rPr>
          <w:rFonts w:ascii="Times New Roman" w:hAnsi="Times New Roman" w:cs="Times New Roman"/>
          <w:sz w:val="28"/>
          <w:szCs w:val="28"/>
        </w:rPr>
        <w:t xml:space="preserve">, сельскохозяйственными кооперативами и аналогичными организациями; </w:t>
      </w:r>
      <w:r w:rsidR="007A4B44" w:rsidRPr="000160C5">
        <w:rPr>
          <w:rFonts w:ascii="Times New Roman" w:hAnsi="Times New Roman" w:cs="Times New Roman"/>
          <w:sz w:val="28"/>
          <w:szCs w:val="28"/>
        </w:rPr>
        <w:t xml:space="preserve">выпущенные компаниями-перевозчиками, подконтрольными федеральному правительству; выпущенные управляющим при банкротстве или доверительным управляющим сертификаты; страховые полисы. </w:t>
      </w:r>
    </w:p>
    <w:p w:rsidR="00A40FAB" w:rsidRPr="000160C5" w:rsidRDefault="00E524C5"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lastRenderedPageBreak/>
        <w:t xml:space="preserve">При вторичной торговле ценными бумагами обязанность по </w:t>
      </w:r>
      <w:r w:rsidR="00C022A8" w:rsidRPr="000160C5">
        <w:rPr>
          <w:rFonts w:ascii="Times New Roman" w:hAnsi="Times New Roman" w:cs="Times New Roman"/>
          <w:sz w:val="28"/>
          <w:szCs w:val="28"/>
        </w:rPr>
        <w:t xml:space="preserve">периодическому </w:t>
      </w:r>
      <w:r w:rsidRPr="000160C5">
        <w:rPr>
          <w:rFonts w:ascii="Times New Roman" w:hAnsi="Times New Roman" w:cs="Times New Roman"/>
          <w:sz w:val="28"/>
          <w:szCs w:val="28"/>
        </w:rPr>
        <w:t xml:space="preserve">раскрытию информации распространяется на компании, </w:t>
      </w:r>
      <w:r w:rsidR="00A40FAB" w:rsidRPr="000160C5">
        <w:rPr>
          <w:rFonts w:ascii="Times New Roman" w:hAnsi="Times New Roman" w:cs="Times New Roman"/>
          <w:sz w:val="28"/>
          <w:szCs w:val="28"/>
        </w:rPr>
        <w:t>активы которых превышают 10 миллионов долларов США и количество владельцев ценных бумаг которых превышает величину 500</w:t>
      </w:r>
      <w:r w:rsidR="00FC0536" w:rsidRPr="000160C5">
        <w:rPr>
          <w:rStyle w:val="a9"/>
          <w:rFonts w:ascii="Times New Roman" w:hAnsi="Times New Roman" w:cs="Times New Roman"/>
          <w:sz w:val="28"/>
          <w:szCs w:val="28"/>
        </w:rPr>
        <w:footnoteReference w:id="13"/>
      </w:r>
      <w:r w:rsidR="00A40FAB" w:rsidRPr="000160C5">
        <w:rPr>
          <w:rFonts w:ascii="Times New Roman" w:hAnsi="Times New Roman" w:cs="Times New Roman"/>
          <w:sz w:val="28"/>
          <w:szCs w:val="28"/>
        </w:rPr>
        <w:t xml:space="preserve">. </w:t>
      </w:r>
    </w:p>
    <w:p w:rsidR="00285489" w:rsidRPr="000160C5" w:rsidRDefault="00285489" w:rsidP="005901E8">
      <w:pPr>
        <w:keepNext/>
        <w:widowControl w:val="0"/>
        <w:spacing w:after="0" w:line="360" w:lineRule="auto"/>
        <w:ind w:firstLine="709"/>
        <w:contextualSpacing/>
        <w:jc w:val="both"/>
        <w:rPr>
          <w:rFonts w:ascii="Times New Roman" w:hAnsi="Times New Roman" w:cs="Times New Roman"/>
          <w:sz w:val="28"/>
          <w:szCs w:val="28"/>
        </w:rPr>
      </w:pPr>
      <w:proofErr w:type="gramStart"/>
      <w:r w:rsidRPr="000160C5">
        <w:rPr>
          <w:rFonts w:ascii="Times New Roman" w:hAnsi="Times New Roman" w:cs="Times New Roman"/>
          <w:sz w:val="28"/>
          <w:szCs w:val="28"/>
        </w:rPr>
        <w:t xml:space="preserve">Таким образом, общий подход </w:t>
      </w:r>
      <w:r w:rsidR="00481FB7" w:rsidRPr="000160C5">
        <w:rPr>
          <w:rFonts w:ascii="Times New Roman" w:hAnsi="Times New Roman" w:cs="Times New Roman"/>
          <w:sz w:val="28"/>
          <w:szCs w:val="28"/>
        </w:rPr>
        <w:t xml:space="preserve">США и России </w:t>
      </w:r>
      <w:r w:rsidRPr="000160C5">
        <w:rPr>
          <w:rFonts w:ascii="Times New Roman" w:hAnsi="Times New Roman" w:cs="Times New Roman"/>
          <w:sz w:val="28"/>
          <w:szCs w:val="28"/>
        </w:rPr>
        <w:t xml:space="preserve">к определению </w:t>
      </w:r>
      <w:r w:rsidR="00FC0536" w:rsidRPr="000160C5">
        <w:rPr>
          <w:rFonts w:ascii="Times New Roman" w:hAnsi="Times New Roman" w:cs="Times New Roman"/>
          <w:sz w:val="28"/>
          <w:szCs w:val="28"/>
        </w:rPr>
        <w:t xml:space="preserve">круга </w:t>
      </w:r>
      <w:r w:rsidRPr="000160C5">
        <w:rPr>
          <w:rFonts w:ascii="Times New Roman" w:hAnsi="Times New Roman" w:cs="Times New Roman"/>
          <w:sz w:val="28"/>
          <w:szCs w:val="28"/>
        </w:rPr>
        <w:t>эмитентов, обязанных раскрывать информацию</w:t>
      </w:r>
      <w:r w:rsidR="00FC0536" w:rsidRPr="000160C5">
        <w:rPr>
          <w:rFonts w:ascii="Times New Roman" w:hAnsi="Times New Roman" w:cs="Times New Roman"/>
          <w:sz w:val="28"/>
          <w:szCs w:val="28"/>
        </w:rPr>
        <w:t xml:space="preserve">, </w:t>
      </w:r>
      <w:r w:rsidR="00481FB7" w:rsidRPr="000160C5">
        <w:rPr>
          <w:rFonts w:ascii="Times New Roman" w:hAnsi="Times New Roman" w:cs="Times New Roman"/>
          <w:sz w:val="28"/>
          <w:szCs w:val="28"/>
        </w:rPr>
        <w:t>аналогичен</w:t>
      </w:r>
      <w:r w:rsidRPr="000160C5">
        <w:rPr>
          <w:rFonts w:ascii="Times New Roman" w:hAnsi="Times New Roman" w:cs="Times New Roman"/>
          <w:sz w:val="28"/>
          <w:szCs w:val="28"/>
        </w:rPr>
        <w:t>: компания, предлагающая ценные бумаги публично, обязана раскрывать информацию сначала на этапе эмиссии (регистрации) ценных бумаг в уполномоченном государственном органе (Комиссия по ценным бумагам и биржам в США и ФСФР в России)</w:t>
      </w:r>
      <w:r w:rsidR="00481FB7" w:rsidRPr="000160C5">
        <w:rPr>
          <w:rFonts w:ascii="Times New Roman" w:hAnsi="Times New Roman" w:cs="Times New Roman"/>
          <w:sz w:val="28"/>
          <w:szCs w:val="28"/>
        </w:rPr>
        <w:t>, далее – раскрывать информацию на периодической основе.</w:t>
      </w:r>
      <w:proofErr w:type="gramEnd"/>
      <w:r w:rsidR="00481FB7" w:rsidRPr="000160C5">
        <w:rPr>
          <w:rFonts w:ascii="Times New Roman" w:hAnsi="Times New Roman" w:cs="Times New Roman"/>
          <w:sz w:val="28"/>
          <w:szCs w:val="28"/>
        </w:rPr>
        <w:t xml:space="preserve"> </w:t>
      </w:r>
      <w:r w:rsidR="00A40FAB" w:rsidRPr="000160C5">
        <w:rPr>
          <w:rFonts w:ascii="Times New Roman" w:hAnsi="Times New Roman" w:cs="Times New Roman"/>
          <w:sz w:val="28"/>
          <w:szCs w:val="28"/>
        </w:rPr>
        <w:t xml:space="preserve">Критерий публичности является достаточно формальным и выражается в числовом значении.  </w:t>
      </w:r>
    </w:p>
    <w:p w:rsidR="000F72CF" w:rsidRPr="000160C5" w:rsidRDefault="00CD1C95" w:rsidP="008B4DF2">
      <w:pPr>
        <w:pStyle w:val="2"/>
        <w:keepLines w:val="0"/>
        <w:widowControl w:val="0"/>
        <w:spacing w:before="0" w:line="360" w:lineRule="auto"/>
        <w:ind w:firstLine="709"/>
        <w:contextualSpacing/>
        <w:rPr>
          <w:rFonts w:cs="Times New Roman"/>
          <w:szCs w:val="28"/>
        </w:rPr>
      </w:pPr>
      <w:bookmarkStart w:id="5" w:name="_Toc356162045"/>
      <w:r w:rsidRPr="000160C5">
        <w:rPr>
          <w:rFonts w:cs="Times New Roman"/>
          <w:szCs w:val="28"/>
        </w:rPr>
        <w:t xml:space="preserve">§3. </w:t>
      </w:r>
      <w:r w:rsidR="000F72CF" w:rsidRPr="000160C5">
        <w:rPr>
          <w:rFonts w:cs="Times New Roman"/>
          <w:szCs w:val="28"/>
        </w:rPr>
        <w:t>Уполномоченный орган, регулирующий раскрытие информации эмитентами</w:t>
      </w:r>
      <w:bookmarkEnd w:id="5"/>
    </w:p>
    <w:p w:rsidR="000F72CF" w:rsidRPr="000160C5" w:rsidRDefault="000F72CF"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Эффективность исполнения эмитентами публичной обязанности по раскрытию информации зависит от </w:t>
      </w:r>
      <w:r w:rsidR="00D37BD6" w:rsidRPr="000160C5">
        <w:rPr>
          <w:rFonts w:ascii="Times New Roman" w:hAnsi="Times New Roman" w:cs="Times New Roman"/>
          <w:sz w:val="28"/>
          <w:szCs w:val="28"/>
        </w:rPr>
        <w:t xml:space="preserve">осуществляемого </w:t>
      </w:r>
      <w:proofErr w:type="gramStart"/>
      <w:r w:rsidRPr="000160C5">
        <w:rPr>
          <w:rFonts w:ascii="Times New Roman" w:hAnsi="Times New Roman" w:cs="Times New Roman"/>
          <w:sz w:val="28"/>
          <w:szCs w:val="28"/>
        </w:rPr>
        <w:t>контроля за</w:t>
      </w:r>
      <w:proofErr w:type="gramEnd"/>
      <w:r w:rsidRPr="000160C5">
        <w:rPr>
          <w:rFonts w:ascii="Times New Roman" w:hAnsi="Times New Roman" w:cs="Times New Roman"/>
          <w:sz w:val="28"/>
          <w:szCs w:val="28"/>
        </w:rPr>
        <w:t xml:space="preserve"> эмитентами. Кто должен осуществлять подобный контроль?</w:t>
      </w:r>
    </w:p>
    <w:p w:rsidR="00DB79E6" w:rsidRPr="000160C5" w:rsidRDefault="000F72CF"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С одной стороны, существующий механизм направлен, как было отмечено выше, на защиту интересов инвесторов</w:t>
      </w:r>
      <w:r w:rsidR="00946861" w:rsidRPr="000160C5">
        <w:rPr>
          <w:rFonts w:ascii="Times New Roman" w:hAnsi="Times New Roman" w:cs="Times New Roman"/>
          <w:sz w:val="28"/>
          <w:szCs w:val="28"/>
        </w:rPr>
        <w:t xml:space="preserve">, в </w:t>
      </w:r>
      <w:proofErr w:type="gramStart"/>
      <w:r w:rsidR="00946861" w:rsidRPr="000160C5">
        <w:rPr>
          <w:rFonts w:ascii="Times New Roman" w:hAnsi="Times New Roman" w:cs="Times New Roman"/>
          <w:sz w:val="28"/>
          <w:szCs w:val="28"/>
        </w:rPr>
        <w:t>связи</w:t>
      </w:r>
      <w:proofErr w:type="gramEnd"/>
      <w:r w:rsidR="00946861" w:rsidRPr="000160C5">
        <w:rPr>
          <w:rFonts w:ascii="Times New Roman" w:hAnsi="Times New Roman" w:cs="Times New Roman"/>
          <w:sz w:val="28"/>
          <w:szCs w:val="28"/>
        </w:rPr>
        <w:t xml:space="preserve"> с чем важным фактором является осуществление контроля за раскрытием информации, прежде всего, </w:t>
      </w:r>
      <w:r w:rsidR="00D37BD6" w:rsidRPr="000160C5">
        <w:rPr>
          <w:rFonts w:ascii="Times New Roman" w:hAnsi="Times New Roman" w:cs="Times New Roman"/>
          <w:sz w:val="28"/>
          <w:szCs w:val="28"/>
        </w:rPr>
        <w:t>самими</w:t>
      </w:r>
      <w:r w:rsidR="00946861" w:rsidRPr="000160C5">
        <w:rPr>
          <w:rFonts w:ascii="Times New Roman" w:hAnsi="Times New Roman" w:cs="Times New Roman"/>
          <w:sz w:val="28"/>
          <w:szCs w:val="28"/>
        </w:rPr>
        <w:t xml:space="preserve"> инвестор</w:t>
      </w:r>
      <w:r w:rsidR="00D37BD6" w:rsidRPr="000160C5">
        <w:rPr>
          <w:rFonts w:ascii="Times New Roman" w:hAnsi="Times New Roman" w:cs="Times New Roman"/>
          <w:sz w:val="28"/>
          <w:szCs w:val="28"/>
        </w:rPr>
        <w:t>ами</w:t>
      </w:r>
      <w:r w:rsidR="00946861" w:rsidRPr="000160C5">
        <w:rPr>
          <w:rFonts w:ascii="Times New Roman" w:hAnsi="Times New Roman" w:cs="Times New Roman"/>
          <w:sz w:val="28"/>
          <w:szCs w:val="28"/>
        </w:rPr>
        <w:t xml:space="preserve">. </w:t>
      </w:r>
    </w:p>
    <w:p w:rsidR="00D37BD6" w:rsidRPr="000160C5" w:rsidRDefault="00DB79E6"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Однако</w:t>
      </w:r>
      <w:r w:rsidR="00D37BD6" w:rsidRPr="000160C5">
        <w:rPr>
          <w:rFonts w:ascii="Times New Roman" w:hAnsi="Times New Roman" w:cs="Times New Roman"/>
          <w:sz w:val="28"/>
          <w:szCs w:val="28"/>
        </w:rPr>
        <w:t xml:space="preserve"> инвестор является слабой стороной в отношениях с сильным эмитентом, в </w:t>
      </w:r>
      <w:proofErr w:type="gramStart"/>
      <w:r w:rsidR="00D37BD6" w:rsidRPr="000160C5">
        <w:rPr>
          <w:rFonts w:ascii="Times New Roman" w:hAnsi="Times New Roman" w:cs="Times New Roman"/>
          <w:sz w:val="28"/>
          <w:szCs w:val="28"/>
        </w:rPr>
        <w:t>связи</w:t>
      </w:r>
      <w:proofErr w:type="gramEnd"/>
      <w:r w:rsidR="00D37BD6" w:rsidRPr="000160C5">
        <w:rPr>
          <w:rFonts w:ascii="Times New Roman" w:hAnsi="Times New Roman" w:cs="Times New Roman"/>
          <w:sz w:val="28"/>
          <w:szCs w:val="28"/>
        </w:rPr>
        <w:t xml:space="preserve"> с чем</w:t>
      </w:r>
      <w:r w:rsidRPr="000160C5">
        <w:rPr>
          <w:rFonts w:ascii="Times New Roman" w:hAnsi="Times New Roman" w:cs="Times New Roman"/>
          <w:sz w:val="28"/>
          <w:szCs w:val="28"/>
        </w:rPr>
        <w:t xml:space="preserve"> необходим </w:t>
      </w:r>
      <w:r w:rsidR="00B379F2" w:rsidRPr="000160C5">
        <w:rPr>
          <w:rFonts w:ascii="Times New Roman" w:hAnsi="Times New Roman" w:cs="Times New Roman"/>
          <w:sz w:val="28"/>
          <w:szCs w:val="28"/>
        </w:rPr>
        <w:t xml:space="preserve">сильный </w:t>
      </w:r>
      <w:r w:rsidRPr="000160C5">
        <w:rPr>
          <w:rFonts w:ascii="Times New Roman" w:hAnsi="Times New Roman" w:cs="Times New Roman"/>
          <w:sz w:val="28"/>
          <w:szCs w:val="28"/>
        </w:rPr>
        <w:t xml:space="preserve">публичный регулятор с </w:t>
      </w:r>
      <w:r w:rsidR="003B51E0" w:rsidRPr="000160C5">
        <w:rPr>
          <w:rFonts w:ascii="Times New Roman" w:hAnsi="Times New Roman" w:cs="Times New Roman"/>
          <w:sz w:val="28"/>
          <w:szCs w:val="28"/>
        </w:rPr>
        <w:t>функционирующим</w:t>
      </w:r>
      <w:r w:rsidR="00EF5909" w:rsidRPr="000160C5">
        <w:rPr>
          <w:rFonts w:ascii="Times New Roman" w:hAnsi="Times New Roman" w:cs="Times New Roman"/>
          <w:sz w:val="28"/>
          <w:szCs w:val="28"/>
        </w:rPr>
        <w:t xml:space="preserve"> </w:t>
      </w:r>
      <w:r w:rsidRPr="000160C5">
        <w:rPr>
          <w:rFonts w:ascii="Times New Roman" w:hAnsi="Times New Roman" w:cs="Times New Roman"/>
          <w:sz w:val="28"/>
          <w:szCs w:val="28"/>
        </w:rPr>
        <w:t>механизмом принуждения и привлечения к ответственности.</w:t>
      </w:r>
      <w:r w:rsidR="007E308B" w:rsidRPr="000160C5">
        <w:rPr>
          <w:rFonts w:ascii="Times New Roman" w:hAnsi="Times New Roman" w:cs="Times New Roman"/>
          <w:sz w:val="28"/>
          <w:szCs w:val="28"/>
        </w:rPr>
        <w:t xml:space="preserve"> </w:t>
      </w:r>
      <w:r w:rsidR="00317830" w:rsidRPr="000160C5">
        <w:rPr>
          <w:rFonts w:ascii="Times New Roman" w:hAnsi="Times New Roman" w:cs="Times New Roman"/>
          <w:sz w:val="28"/>
          <w:szCs w:val="28"/>
        </w:rPr>
        <w:t xml:space="preserve"> </w:t>
      </w:r>
    </w:p>
    <w:p w:rsidR="00372259" w:rsidRPr="000160C5" w:rsidRDefault="0072144B"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В рамках Круглого стола по сотрудничеству России и ОЭСР было отмечено, что э</w:t>
      </w:r>
      <w:r w:rsidR="00372259" w:rsidRPr="000160C5">
        <w:rPr>
          <w:rFonts w:ascii="Times New Roman" w:hAnsi="Times New Roman" w:cs="Times New Roman"/>
          <w:sz w:val="28"/>
          <w:szCs w:val="28"/>
        </w:rPr>
        <w:t xml:space="preserve">ффективный регулятор, осуществляющий справедливый и беспристрастный контроль за соблюдением законодательства, является </w:t>
      </w:r>
      <w:r w:rsidR="00372259" w:rsidRPr="000160C5">
        <w:rPr>
          <w:rFonts w:ascii="Times New Roman" w:hAnsi="Times New Roman" w:cs="Times New Roman"/>
          <w:sz w:val="28"/>
          <w:szCs w:val="28"/>
        </w:rPr>
        <w:lastRenderedPageBreak/>
        <w:t>ключевым фактором эффективного функционирования системы раскрытия информации. При этом недостаточно создания видимости системы контроля, должно быть действительное решение возникающих проблем</w:t>
      </w:r>
      <w:r w:rsidR="00372259" w:rsidRPr="000160C5">
        <w:rPr>
          <w:rStyle w:val="a9"/>
          <w:rFonts w:ascii="Times New Roman" w:hAnsi="Times New Roman" w:cs="Times New Roman"/>
          <w:sz w:val="28"/>
          <w:szCs w:val="28"/>
        </w:rPr>
        <w:footnoteReference w:id="14"/>
      </w:r>
      <w:r w:rsidR="00372259" w:rsidRPr="000160C5">
        <w:rPr>
          <w:rFonts w:ascii="Times New Roman" w:hAnsi="Times New Roman" w:cs="Times New Roman"/>
          <w:sz w:val="28"/>
          <w:szCs w:val="28"/>
        </w:rPr>
        <w:t>.</w:t>
      </w:r>
    </w:p>
    <w:p w:rsidR="001B501C" w:rsidRPr="000160C5" w:rsidRDefault="008834E4"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В России таким регулятором в настоящий момент является упомянутая выше Федеральная служба по финансовым рынкам</w:t>
      </w:r>
      <w:r w:rsidR="00DB79E6" w:rsidRPr="000160C5">
        <w:rPr>
          <w:rFonts w:ascii="Times New Roman" w:hAnsi="Times New Roman" w:cs="Times New Roman"/>
          <w:sz w:val="28"/>
          <w:szCs w:val="28"/>
        </w:rPr>
        <w:t xml:space="preserve"> </w:t>
      </w:r>
      <w:r w:rsidRPr="000160C5">
        <w:rPr>
          <w:rFonts w:ascii="Times New Roman" w:hAnsi="Times New Roman" w:cs="Times New Roman"/>
          <w:sz w:val="28"/>
          <w:szCs w:val="28"/>
        </w:rPr>
        <w:t xml:space="preserve">(ФСФР). </w:t>
      </w:r>
      <w:r w:rsidR="00AF4C3A" w:rsidRPr="000160C5">
        <w:rPr>
          <w:rFonts w:ascii="Times New Roman" w:hAnsi="Times New Roman" w:cs="Times New Roman"/>
          <w:sz w:val="28"/>
          <w:szCs w:val="28"/>
        </w:rPr>
        <w:t xml:space="preserve">Стоит отметить, что ФСФР является достаточно молодым государственным органом, образованным в 2004 году в качестве </w:t>
      </w:r>
      <w:r w:rsidR="001B501C" w:rsidRPr="000160C5">
        <w:rPr>
          <w:rFonts w:ascii="Times New Roman" w:hAnsi="Times New Roman" w:cs="Times New Roman"/>
          <w:sz w:val="28"/>
          <w:szCs w:val="28"/>
        </w:rPr>
        <w:t>право</w:t>
      </w:r>
      <w:r w:rsidR="00AF4C3A" w:rsidRPr="000160C5">
        <w:rPr>
          <w:rFonts w:ascii="Times New Roman" w:hAnsi="Times New Roman" w:cs="Times New Roman"/>
          <w:sz w:val="28"/>
          <w:szCs w:val="28"/>
        </w:rPr>
        <w:t>преемника Федеральной комиссии по рынку ценных бумаг (ФКЦБ)</w:t>
      </w:r>
      <w:r w:rsidR="00AA4FFE" w:rsidRPr="000160C5">
        <w:rPr>
          <w:rStyle w:val="a9"/>
          <w:rFonts w:ascii="Times New Roman" w:hAnsi="Times New Roman" w:cs="Times New Roman"/>
          <w:sz w:val="28"/>
          <w:szCs w:val="28"/>
        </w:rPr>
        <w:footnoteReference w:id="15"/>
      </w:r>
      <w:r w:rsidR="00AF4C3A" w:rsidRPr="000160C5">
        <w:rPr>
          <w:rFonts w:ascii="Times New Roman" w:hAnsi="Times New Roman" w:cs="Times New Roman"/>
          <w:sz w:val="28"/>
          <w:szCs w:val="28"/>
        </w:rPr>
        <w:t>.</w:t>
      </w:r>
      <w:r w:rsidR="001B501C" w:rsidRPr="000160C5">
        <w:rPr>
          <w:rFonts w:ascii="Times New Roman" w:hAnsi="Times New Roman" w:cs="Times New Roman"/>
          <w:sz w:val="28"/>
          <w:szCs w:val="28"/>
        </w:rPr>
        <w:t xml:space="preserve"> ФКЦБ</w:t>
      </w:r>
      <w:r w:rsidR="003B51E0" w:rsidRPr="000160C5">
        <w:rPr>
          <w:rFonts w:ascii="Times New Roman" w:hAnsi="Times New Roman" w:cs="Times New Roman"/>
          <w:sz w:val="28"/>
          <w:szCs w:val="28"/>
        </w:rPr>
        <w:t>,</w:t>
      </w:r>
      <w:r w:rsidR="001B501C" w:rsidRPr="000160C5">
        <w:rPr>
          <w:rFonts w:ascii="Times New Roman" w:hAnsi="Times New Roman" w:cs="Times New Roman"/>
          <w:sz w:val="28"/>
          <w:szCs w:val="28"/>
        </w:rPr>
        <w:t xml:space="preserve"> в свою очередь</w:t>
      </w:r>
      <w:r w:rsidR="00B379F2" w:rsidRPr="000160C5">
        <w:rPr>
          <w:rFonts w:ascii="Times New Roman" w:hAnsi="Times New Roman" w:cs="Times New Roman"/>
          <w:sz w:val="28"/>
          <w:szCs w:val="28"/>
        </w:rPr>
        <w:t>,</w:t>
      </w:r>
      <w:r w:rsidR="001B501C" w:rsidRPr="000160C5">
        <w:rPr>
          <w:rFonts w:ascii="Times New Roman" w:hAnsi="Times New Roman" w:cs="Times New Roman"/>
          <w:sz w:val="28"/>
          <w:szCs w:val="28"/>
        </w:rPr>
        <w:t xml:space="preserve"> появилась в 1996 году</w:t>
      </w:r>
      <w:r w:rsidR="001B501C" w:rsidRPr="000160C5">
        <w:rPr>
          <w:rStyle w:val="a9"/>
          <w:rFonts w:ascii="Times New Roman" w:hAnsi="Times New Roman" w:cs="Times New Roman"/>
          <w:sz w:val="28"/>
          <w:szCs w:val="28"/>
        </w:rPr>
        <w:footnoteReference w:id="16"/>
      </w:r>
      <w:r w:rsidR="001B501C" w:rsidRPr="000160C5">
        <w:rPr>
          <w:rFonts w:ascii="Times New Roman" w:hAnsi="Times New Roman" w:cs="Times New Roman"/>
          <w:sz w:val="28"/>
          <w:szCs w:val="28"/>
        </w:rPr>
        <w:t xml:space="preserve"> результате правопреемства при преобразовании Федеральной</w:t>
      </w:r>
      <w:r w:rsidR="00612B01" w:rsidRPr="000160C5">
        <w:rPr>
          <w:rFonts w:ascii="Times New Roman" w:hAnsi="Times New Roman" w:cs="Times New Roman"/>
          <w:sz w:val="28"/>
          <w:szCs w:val="28"/>
        </w:rPr>
        <w:t xml:space="preserve"> комиссии</w:t>
      </w:r>
      <w:r w:rsidR="001B501C" w:rsidRPr="000160C5">
        <w:rPr>
          <w:rFonts w:ascii="Times New Roman" w:hAnsi="Times New Roman" w:cs="Times New Roman"/>
          <w:sz w:val="28"/>
          <w:szCs w:val="28"/>
        </w:rPr>
        <w:t xml:space="preserve"> по ценным бумагам и фондовому рынку при Правительстве Российской Федерации, созданной в 1994 году</w:t>
      </w:r>
      <w:r w:rsidR="00612B01" w:rsidRPr="000160C5">
        <w:rPr>
          <w:rStyle w:val="a9"/>
          <w:rFonts w:ascii="Times New Roman" w:hAnsi="Times New Roman" w:cs="Times New Roman"/>
          <w:sz w:val="28"/>
          <w:szCs w:val="28"/>
        </w:rPr>
        <w:footnoteReference w:id="17"/>
      </w:r>
      <w:r w:rsidR="001B501C" w:rsidRPr="000160C5">
        <w:rPr>
          <w:rFonts w:ascii="Times New Roman" w:hAnsi="Times New Roman" w:cs="Times New Roman"/>
          <w:sz w:val="28"/>
          <w:szCs w:val="28"/>
        </w:rPr>
        <w:t>.</w:t>
      </w:r>
    </w:p>
    <w:p w:rsidR="00A51E8D" w:rsidRPr="000160C5" w:rsidRDefault="00040AE9"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Таким образом, очевидна нестабильность административного регулятора</w:t>
      </w:r>
      <w:r w:rsidR="00A51E8D" w:rsidRPr="000160C5">
        <w:rPr>
          <w:rFonts w:ascii="Times New Roman" w:hAnsi="Times New Roman" w:cs="Times New Roman"/>
          <w:sz w:val="28"/>
          <w:szCs w:val="28"/>
        </w:rPr>
        <w:t xml:space="preserve"> раскрытия информации эмитентами на рынке ценных бумаг в России. </w:t>
      </w:r>
      <w:r w:rsidR="00D37BD6" w:rsidRPr="000160C5">
        <w:rPr>
          <w:rFonts w:ascii="Times New Roman" w:hAnsi="Times New Roman" w:cs="Times New Roman"/>
          <w:sz w:val="28"/>
          <w:szCs w:val="28"/>
        </w:rPr>
        <w:t xml:space="preserve">Одной из причин этого вероятно является становление и развитие столь молодого еще финансового рынка России и поисков в связи с этим действующих механизмов контроля и управления. </w:t>
      </w:r>
    </w:p>
    <w:p w:rsidR="00D37BD6" w:rsidRPr="000160C5" w:rsidRDefault="00B379F2"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В США</w:t>
      </w:r>
      <w:r w:rsidR="00A51E8D" w:rsidRPr="000160C5">
        <w:rPr>
          <w:rFonts w:ascii="Times New Roman" w:hAnsi="Times New Roman" w:cs="Times New Roman"/>
          <w:sz w:val="28"/>
          <w:szCs w:val="28"/>
        </w:rPr>
        <w:t xml:space="preserve"> регулятором является </w:t>
      </w:r>
      <w:r w:rsidR="00D37BD6" w:rsidRPr="000160C5">
        <w:rPr>
          <w:rFonts w:ascii="Times New Roman" w:hAnsi="Times New Roman" w:cs="Times New Roman"/>
          <w:sz w:val="28"/>
          <w:szCs w:val="28"/>
        </w:rPr>
        <w:t xml:space="preserve">уже упомянутая выше </w:t>
      </w:r>
      <w:r w:rsidR="00A51E8D" w:rsidRPr="000160C5">
        <w:rPr>
          <w:rFonts w:ascii="Times New Roman" w:hAnsi="Times New Roman" w:cs="Times New Roman"/>
          <w:sz w:val="28"/>
          <w:szCs w:val="28"/>
        </w:rPr>
        <w:t>Комиссия по ценным бумагам и биржам (</w:t>
      </w:r>
      <w:r w:rsidRPr="000160C5">
        <w:rPr>
          <w:rFonts w:ascii="Times New Roman" w:hAnsi="Times New Roman" w:cs="Times New Roman"/>
          <w:sz w:val="28"/>
          <w:szCs w:val="28"/>
          <w:lang w:val="en-US"/>
        </w:rPr>
        <w:t>the</w:t>
      </w:r>
      <w:r w:rsidRPr="000160C5">
        <w:rPr>
          <w:rFonts w:ascii="Times New Roman" w:hAnsi="Times New Roman" w:cs="Times New Roman"/>
          <w:sz w:val="28"/>
          <w:szCs w:val="28"/>
        </w:rPr>
        <w:t xml:space="preserve"> </w:t>
      </w:r>
      <w:r w:rsidR="00A51E8D" w:rsidRPr="000160C5">
        <w:rPr>
          <w:rFonts w:ascii="Times New Roman" w:hAnsi="Times New Roman" w:cs="Times New Roman"/>
          <w:sz w:val="28"/>
          <w:szCs w:val="28"/>
          <w:lang w:val="en-US"/>
        </w:rPr>
        <w:t>Securities</w:t>
      </w:r>
      <w:r w:rsidR="00A51E8D" w:rsidRPr="000160C5">
        <w:rPr>
          <w:rFonts w:ascii="Times New Roman" w:hAnsi="Times New Roman" w:cs="Times New Roman"/>
          <w:sz w:val="28"/>
          <w:szCs w:val="28"/>
        </w:rPr>
        <w:t xml:space="preserve"> </w:t>
      </w:r>
      <w:r w:rsidR="00A51E8D" w:rsidRPr="000160C5">
        <w:rPr>
          <w:rFonts w:ascii="Times New Roman" w:hAnsi="Times New Roman" w:cs="Times New Roman"/>
          <w:sz w:val="28"/>
          <w:szCs w:val="28"/>
          <w:lang w:val="en-US"/>
        </w:rPr>
        <w:t>and</w:t>
      </w:r>
      <w:r w:rsidR="00A51E8D" w:rsidRPr="000160C5">
        <w:rPr>
          <w:rFonts w:ascii="Times New Roman" w:hAnsi="Times New Roman" w:cs="Times New Roman"/>
          <w:sz w:val="28"/>
          <w:szCs w:val="28"/>
        </w:rPr>
        <w:t xml:space="preserve"> </w:t>
      </w:r>
      <w:r w:rsidR="00A51E8D" w:rsidRPr="000160C5">
        <w:rPr>
          <w:rFonts w:ascii="Times New Roman" w:hAnsi="Times New Roman" w:cs="Times New Roman"/>
          <w:sz w:val="28"/>
          <w:szCs w:val="28"/>
          <w:lang w:val="en-US"/>
        </w:rPr>
        <w:t>Exchange</w:t>
      </w:r>
      <w:r w:rsidR="00A51E8D" w:rsidRPr="000160C5">
        <w:rPr>
          <w:rFonts w:ascii="Times New Roman" w:hAnsi="Times New Roman" w:cs="Times New Roman"/>
          <w:sz w:val="28"/>
          <w:szCs w:val="28"/>
        </w:rPr>
        <w:t xml:space="preserve"> </w:t>
      </w:r>
      <w:r w:rsidR="00A51E8D" w:rsidRPr="000160C5">
        <w:rPr>
          <w:rFonts w:ascii="Times New Roman" w:hAnsi="Times New Roman" w:cs="Times New Roman"/>
          <w:sz w:val="28"/>
          <w:szCs w:val="28"/>
          <w:lang w:val="en-US"/>
        </w:rPr>
        <w:t>Commission</w:t>
      </w:r>
      <w:r w:rsidR="00A51E8D" w:rsidRPr="000160C5">
        <w:rPr>
          <w:rFonts w:ascii="Times New Roman" w:hAnsi="Times New Roman" w:cs="Times New Roman"/>
          <w:sz w:val="28"/>
          <w:szCs w:val="28"/>
        </w:rPr>
        <w:t>)</w:t>
      </w:r>
      <w:r w:rsidR="002D11DD" w:rsidRPr="000160C5">
        <w:rPr>
          <w:rFonts w:ascii="Times New Roman" w:hAnsi="Times New Roman" w:cs="Times New Roman"/>
          <w:sz w:val="28"/>
          <w:szCs w:val="28"/>
        </w:rPr>
        <w:t xml:space="preserve">. Комиссия США была </w:t>
      </w:r>
      <w:r w:rsidRPr="000160C5">
        <w:rPr>
          <w:rFonts w:ascii="Times New Roman" w:hAnsi="Times New Roman" w:cs="Times New Roman"/>
          <w:sz w:val="28"/>
          <w:szCs w:val="28"/>
        </w:rPr>
        <w:t>образована</w:t>
      </w:r>
      <w:r w:rsidR="002D11DD" w:rsidRPr="000160C5">
        <w:rPr>
          <w:rFonts w:ascii="Times New Roman" w:hAnsi="Times New Roman" w:cs="Times New Roman"/>
          <w:sz w:val="28"/>
          <w:szCs w:val="28"/>
        </w:rPr>
        <w:t xml:space="preserve"> </w:t>
      </w:r>
      <w:r w:rsidRPr="000160C5">
        <w:rPr>
          <w:rFonts w:ascii="Times New Roman" w:hAnsi="Times New Roman" w:cs="Times New Roman"/>
          <w:sz w:val="28"/>
          <w:szCs w:val="28"/>
        </w:rPr>
        <w:t>в</w:t>
      </w:r>
      <w:r w:rsidR="002D11DD" w:rsidRPr="000160C5">
        <w:rPr>
          <w:rFonts w:ascii="Times New Roman" w:hAnsi="Times New Roman" w:cs="Times New Roman"/>
          <w:sz w:val="28"/>
          <w:szCs w:val="28"/>
        </w:rPr>
        <w:t xml:space="preserve"> 1934  на основе Закона о торговле ценными бумагами (</w:t>
      </w:r>
      <w:r w:rsidR="002D11DD" w:rsidRPr="000160C5">
        <w:rPr>
          <w:rFonts w:ascii="Times New Roman" w:hAnsi="Times New Roman" w:cs="Times New Roman"/>
          <w:sz w:val="28"/>
          <w:szCs w:val="28"/>
          <w:lang w:val="en-US"/>
        </w:rPr>
        <w:t>the</w:t>
      </w:r>
      <w:r w:rsidR="002D11DD" w:rsidRPr="000160C5">
        <w:rPr>
          <w:rFonts w:ascii="Times New Roman" w:hAnsi="Times New Roman" w:cs="Times New Roman"/>
          <w:sz w:val="28"/>
          <w:szCs w:val="28"/>
        </w:rPr>
        <w:t xml:space="preserve"> </w:t>
      </w:r>
      <w:r w:rsidR="002D11DD" w:rsidRPr="000160C5">
        <w:rPr>
          <w:rFonts w:ascii="Times New Roman" w:hAnsi="Times New Roman" w:cs="Times New Roman"/>
          <w:sz w:val="28"/>
          <w:szCs w:val="28"/>
          <w:lang w:val="en-US"/>
        </w:rPr>
        <w:t>Securities</w:t>
      </w:r>
      <w:r w:rsidR="002D11DD" w:rsidRPr="000160C5">
        <w:rPr>
          <w:rFonts w:ascii="Times New Roman" w:hAnsi="Times New Roman" w:cs="Times New Roman"/>
          <w:sz w:val="28"/>
          <w:szCs w:val="28"/>
        </w:rPr>
        <w:t xml:space="preserve"> </w:t>
      </w:r>
      <w:r w:rsidR="002D11DD" w:rsidRPr="000160C5">
        <w:rPr>
          <w:rFonts w:ascii="Times New Roman" w:hAnsi="Times New Roman" w:cs="Times New Roman"/>
          <w:sz w:val="28"/>
          <w:szCs w:val="28"/>
          <w:lang w:val="en-US"/>
        </w:rPr>
        <w:t>Exchange</w:t>
      </w:r>
      <w:r w:rsidR="002D11DD" w:rsidRPr="000160C5">
        <w:rPr>
          <w:rFonts w:ascii="Times New Roman" w:hAnsi="Times New Roman" w:cs="Times New Roman"/>
          <w:sz w:val="28"/>
          <w:szCs w:val="28"/>
        </w:rPr>
        <w:t xml:space="preserve"> </w:t>
      </w:r>
      <w:r w:rsidR="002D11DD" w:rsidRPr="000160C5">
        <w:rPr>
          <w:rFonts w:ascii="Times New Roman" w:hAnsi="Times New Roman" w:cs="Times New Roman"/>
          <w:sz w:val="28"/>
          <w:szCs w:val="28"/>
          <w:lang w:val="en-US"/>
        </w:rPr>
        <w:t>Act</w:t>
      </w:r>
      <w:r w:rsidR="002D11DD" w:rsidRPr="000160C5">
        <w:rPr>
          <w:rFonts w:ascii="Times New Roman" w:hAnsi="Times New Roman" w:cs="Times New Roman"/>
          <w:sz w:val="28"/>
          <w:szCs w:val="28"/>
        </w:rPr>
        <w:t>)</w:t>
      </w:r>
      <w:r w:rsidR="009D7BBF" w:rsidRPr="000160C5">
        <w:rPr>
          <w:rFonts w:ascii="Times New Roman" w:hAnsi="Times New Roman" w:cs="Times New Roman"/>
          <w:sz w:val="28"/>
          <w:szCs w:val="28"/>
        </w:rPr>
        <w:t xml:space="preserve">. Создание Комиссии США было продиктовано </w:t>
      </w:r>
      <w:r w:rsidR="00A469C1" w:rsidRPr="000160C5">
        <w:rPr>
          <w:rFonts w:ascii="Times New Roman" w:hAnsi="Times New Roman" w:cs="Times New Roman"/>
          <w:sz w:val="28"/>
          <w:szCs w:val="28"/>
        </w:rPr>
        <w:t>обстоятельствами, сопряженными с</w:t>
      </w:r>
      <w:r w:rsidR="009D7BBF" w:rsidRPr="000160C5">
        <w:rPr>
          <w:rFonts w:ascii="Times New Roman" w:hAnsi="Times New Roman" w:cs="Times New Roman"/>
          <w:sz w:val="28"/>
          <w:szCs w:val="28"/>
        </w:rPr>
        <w:t xml:space="preserve"> Биржев</w:t>
      </w:r>
      <w:r w:rsidR="00A469C1" w:rsidRPr="000160C5">
        <w:rPr>
          <w:rFonts w:ascii="Times New Roman" w:hAnsi="Times New Roman" w:cs="Times New Roman"/>
          <w:sz w:val="28"/>
          <w:szCs w:val="28"/>
        </w:rPr>
        <w:t>ым</w:t>
      </w:r>
      <w:r w:rsidR="009D7BBF" w:rsidRPr="000160C5">
        <w:rPr>
          <w:rFonts w:ascii="Times New Roman" w:hAnsi="Times New Roman" w:cs="Times New Roman"/>
          <w:sz w:val="28"/>
          <w:szCs w:val="28"/>
        </w:rPr>
        <w:t xml:space="preserve"> крах</w:t>
      </w:r>
      <w:r w:rsidR="00A469C1" w:rsidRPr="000160C5">
        <w:rPr>
          <w:rFonts w:ascii="Times New Roman" w:hAnsi="Times New Roman" w:cs="Times New Roman"/>
          <w:sz w:val="28"/>
          <w:szCs w:val="28"/>
        </w:rPr>
        <w:t>ом</w:t>
      </w:r>
      <w:r w:rsidR="009D7BBF" w:rsidRPr="000160C5">
        <w:rPr>
          <w:rFonts w:ascii="Times New Roman" w:hAnsi="Times New Roman" w:cs="Times New Roman"/>
          <w:sz w:val="28"/>
          <w:szCs w:val="28"/>
        </w:rPr>
        <w:t xml:space="preserve"> 1929 года и начавшейся затем Великой депрессией.</w:t>
      </w:r>
      <w:r w:rsidR="00E1708E" w:rsidRPr="000160C5">
        <w:rPr>
          <w:rFonts w:ascii="Times New Roman" w:hAnsi="Times New Roman" w:cs="Times New Roman"/>
          <w:sz w:val="28"/>
          <w:szCs w:val="28"/>
        </w:rPr>
        <w:t xml:space="preserve"> </w:t>
      </w:r>
    </w:p>
    <w:p w:rsidR="0014575B" w:rsidRPr="000160C5" w:rsidRDefault="00D37BD6"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Небольшая предыстория: з</w:t>
      </w:r>
      <w:r w:rsidR="00E1708E" w:rsidRPr="000160C5">
        <w:rPr>
          <w:rFonts w:ascii="Times New Roman" w:hAnsi="Times New Roman" w:cs="Times New Roman"/>
          <w:sz w:val="28"/>
          <w:szCs w:val="28"/>
        </w:rPr>
        <w:t xml:space="preserve">а </w:t>
      </w:r>
      <w:r w:rsidR="008513D3" w:rsidRPr="000160C5">
        <w:rPr>
          <w:rFonts w:ascii="Times New Roman" w:hAnsi="Times New Roman" w:cs="Times New Roman"/>
          <w:sz w:val="28"/>
          <w:szCs w:val="28"/>
        </w:rPr>
        <w:t>десятилетие</w:t>
      </w:r>
      <w:r w:rsidR="00E1708E" w:rsidRPr="000160C5">
        <w:rPr>
          <w:rFonts w:ascii="Times New Roman" w:hAnsi="Times New Roman" w:cs="Times New Roman"/>
          <w:sz w:val="28"/>
          <w:szCs w:val="28"/>
        </w:rPr>
        <w:t>, начиная с 1920-х годов</w:t>
      </w:r>
      <w:r w:rsidR="008513D3" w:rsidRPr="000160C5">
        <w:rPr>
          <w:rFonts w:ascii="Times New Roman" w:hAnsi="Times New Roman" w:cs="Times New Roman"/>
          <w:sz w:val="28"/>
          <w:szCs w:val="28"/>
        </w:rPr>
        <w:t>, обесценились вновь выпущенные акции на сумму около 50 миллиардов долларов. Доверие инвесторов и банков, потерявших огромные средс</w:t>
      </w:r>
      <w:r w:rsidR="006F4FBE" w:rsidRPr="000160C5">
        <w:rPr>
          <w:rFonts w:ascii="Times New Roman" w:hAnsi="Times New Roman" w:cs="Times New Roman"/>
          <w:sz w:val="28"/>
          <w:szCs w:val="28"/>
        </w:rPr>
        <w:t>тва, было значительно подорвано.</w:t>
      </w:r>
      <w:r w:rsidR="008513D3" w:rsidRPr="000160C5">
        <w:rPr>
          <w:rFonts w:ascii="Times New Roman" w:hAnsi="Times New Roman" w:cs="Times New Roman"/>
          <w:sz w:val="28"/>
          <w:szCs w:val="28"/>
        </w:rPr>
        <w:t xml:space="preserve"> </w:t>
      </w:r>
      <w:r w:rsidR="006F4FBE" w:rsidRPr="000160C5">
        <w:rPr>
          <w:rFonts w:ascii="Times New Roman" w:hAnsi="Times New Roman" w:cs="Times New Roman"/>
          <w:sz w:val="28"/>
          <w:szCs w:val="28"/>
        </w:rPr>
        <w:t>Э</w:t>
      </w:r>
      <w:r w:rsidR="008513D3" w:rsidRPr="000160C5">
        <w:rPr>
          <w:rFonts w:ascii="Times New Roman" w:hAnsi="Times New Roman" w:cs="Times New Roman"/>
          <w:sz w:val="28"/>
          <w:szCs w:val="28"/>
        </w:rPr>
        <w:t>кономик</w:t>
      </w:r>
      <w:r w:rsidR="00A469C1" w:rsidRPr="000160C5">
        <w:rPr>
          <w:rFonts w:ascii="Times New Roman" w:hAnsi="Times New Roman" w:cs="Times New Roman"/>
          <w:sz w:val="28"/>
          <w:szCs w:val="28"/>
        </w:rPr>
        <w:t>а</w:t>
      </w:r>
      <w:r w:rsidR="008513D3" w:rsidRPr="000160C5">
        <w:rPr>
          <w:rFonts w:ascii="Times New Roman" w:hAnsi="Times New Roman" w:cs="Times New Roman"/>
          <w:sz w:val="28"/>
          <w:szCs w:val="28"/>
        </w:rPr>
        <w:t xml:space="preserve"> </w:t>
      </w:r>
      <w:r w:rsidR="00A469C1" w:rsidRPr="000160C5">
        <w:rPr>
          <w:rFonts w:ascii="Times New Roman" w:hAnsi="Times New Roman" w:cs="Times New Roman"/>
          <w:sz w:val="28"/>
          <w:szCs w:val="28"/>
        </w:rPr>
        <w:t>нуждалась в</w:t>
      </w:r>
      <w:r w:rsidR="008513D3" w:rsidRPr="000160C5">
        <w:rPr>
          <w:rFonts w:ascii="Times New Roman" w:hAnsi="Times New Roman" w:cs="Times New Roman"/>
          <w:sz w:val="28"/>
          <w:szCs w:val="28"/>
        </w:rPr>
        <w:t xml:space="preserve"> приняти</w:t>
      </w:r>
      <w:r w:rsidR="00A469C1" w:rsidRPr="000160C5">
        <w:rPr>
          <w:rFonts w:ascii="Times New Roman" w:hAnsi="Times New Roman" w:cs="Times New Roman"/>
          <w:sz w:val="28"/>
          <w:szCs w:val="28"/>
        </w:rPr>
        <w:t>и</w:t>
      </w:r>
      <w:r w:rsidR="008513D3" w:rsidRPr="000160C5">
        <w:rPr>
          <w:rFonts w:ascii="Times New Roman" w:hAnsi="Times New Roman" w:cs="Times New Roman"/>
          <w:sz w:val="28"/>
          <w:szCs w:val="28"/>
        </w:rPr>
        <w:t xml:space="preserve"> мер, </w:t>
      </w:r>
      <w:r w:rsidR="008513D3" w:rsidRPr="000160C5">
        <w:rPr>
          <w:rFonts w:ascii="Times New Roman" w:hAnsi="Times New Roman" w:cs="Times New Roman"/>
          <w:sz w:val="28"/>
          <w:szCs w:val="28"/>
        </w:rPr>
        <w:lastRenderedPageBreak/>
        <w:t>направленных на восстановление доверия</w:t>
      </w:r>
      <w:r w:rsidR="00A469C1" w:rsidRPr="000160C5">
        <w:rPr>
          <w:rFonts w:ascii="Times New Roman" w:hAnsi="Times New Roman" w:cs="Times New Roman"/>
          <w:sz w:val="28"/>
          <w:szCs w:val="28"/>
        </w:rPr>
        <w:t xml:space="preserve"> инвесторов</w:t>
      </w:r>
      <w:r w:rsidR="008513D3" w:rsidRPr="000160C5">
        <w:rPr>
          <w:rFonts w:ascii="Times New Roman" w:hAnsi="Times New Roman" w:cs="Times New Roman"/>
          <w:sz w:val="28"/>
          <w:szCs w:val="28"/>
        </w:rPr>
        <w:t xml:space="preserve"> к рынку ценных бумаг. Такими мерами стали упомянутый Закон о торговле ценными бумагами</w:t>
      </w:r>
      <w:r w:rsidR="00A469C1" w:rsidRPr="000160C5">
        <w:rPr>
          <w:rFonts w:ascii="Times New Roman" w:hAnsi="Times New Roman" w:cs="Times New Roman"/>
          <w:sz w:val="28"/>
          <w:szCs w:val="28"/>
        </w:rPr>
        <w:t xml:space="preserve"> 1934 года</w:t>
      </w:r>
      <w:r w:rsidR="008513D3" w:rsidRPr="000160C5">
        <w:rPr>
          <w:rFonts w:ascii="Times New Roman" w:hAnsi="Times New Roman" w:cs="Times New Roman"/>
          <w:sz w:val="28"/>
          <w:szCs w:val="28"/>
        </w:rPr>
        <w:t xml:space="preserve"> и Закон о ценных бумагах</w:t>
      </w:r>
      <w:r w:rsidR="00A469C1" w:rsidRPr="000160C5">
        <w:rPr>
          <w:rFonts w:ascii="Times New Roman" w:hAnsi="Times New Roman" w:cs="Times New Roman"/>
          <w:sz w:val="28"/>
          <w:szCs w:val="28"/>
        </w:rPr>
        <w:t xml:space="preserve"> 1933 года</w:t>
      </w:r>
      <w:r w:rsidR="008513D3" w:rsidRPr="000160C5">
        <w:rPr>
          <w:rFonts w:ascii="Times New Roman" w:hAnsi="Times New Roman" w:cs="Times New Roman"/>
          <w:sz w:val="28"/>
          <w:szCs w:val="28"/>
        </w:rPr>
        <w:t xml:space="preserve">. Основной целью указанных </w:t>
      </w:r>
      <w:r w:rsidR="006F4FBE" w:rsidRPr="000160C5">
        <w:rPr>
          <w:rFonts w:ascii="Times New Roman" w:hAnsi="Times New Roman" w:cs="Times New Roman"/>
          <w:sz w:val="28"/>
          <w:szCs w:val="28"/>
        </w:rPr>
        <w:t>актов</w:t>
      </w:r>
      <w:r w:rsidR="008513D3" w:rsidRPr="000160C5">
        <w:rPr>
          <w:rFonts w:ascii="Times New Roman" w:hAnsi="Times New Roman" w:cs="Times New Roman"/>
          <w:sz w:val="28"/>
          <w:szCs w:val="28"/>
        </w:rPr>
        <w:t xml:space="preserve"> было обеспеч</w:t>
      </w:r>
      <w:r w:rsidR="00A469C1" w:rsidRPr="000160C5">
        <w:rPr>
          <w:rFonts w:ascii="Times New Roman" w:hAnsi="Times New Roman" w:cs="Times New Roman"/>
          <w:sz w:val="28"/>
          <w:szCs w:val="28"/>
        </w:rPr>
        <w:t>ение</w:t>
      </w:r>
      <w:r w:rsidR="008513D3" w:rsidRPr="000160C5">
        <w:rPr>
          <w:rFonts w:ascii="Times New Roman" w:hAnsi="Times New Roman" w:cs="Times New Roman"/>
          <w:sz w:val="28"/>
          <w:szCs w:val="28"/>
        </w:rPr>
        <w:t xml:space="preserve"> инвесторов и фондов</w:t>
      </w:r>
      <w:r w:rsidR="00A469C1" w:rsidRPr="000160C5">
        <w:rPr>
          <w:rFonts w:ascii="Times New Roman" w:hAnsi="Times New Roman" w:cs="Times New Roman"/>
          <w:sz w:val="28"/>
          <w:szCs w:val="28"/>
        </w:rPr>
        <w:t>ого</w:t>
      </w:r>
      <w:r w:rsidR="008513D3" w:rsidRPr="000160C5">
        <w:rPr>
          <w:rFonts w:ascii="Times New Roman" w:hAnsi="Times New Roman" w:cs="Times New Roman"/>
          <w:sz w:val="28"/>
          <w:szCs w:val="28"/>
        </w:rPr>
        <w:t xml:space="preserve"> рын</w:t>
      </w:r>
      <w:r w:rsidR="00A469C1" w:rsidRPr="000160C5">
        <w:rPr>
          <w:rFonts w:ascii="Times New Roman" w:hAnsi="Times New Roman" w:cs="Times New Roman"/>
          <w:sz w:val="28"/>
          <w:szCs w:val="28"/>
        </w:rPr>
        <w:t>ка</w:t>
      </w:r>
      <w:r w:rsidR="000308E6" w:rsidRPr="000160C5">
        <w:rPr>
          <w:rFonts w:ascii="Times New Roman" w:hAnsi="Times New Roman" w:cs="Times New Roman"/>
          <w:sz w:val="28"/>
          <w:szCs w:val="28"/>
        </w:rPr>
        <w:t xml:space="preserve"> в целом</w:t>
      </w:r>
      <w:r w:rsidR="008513D3" w:rsidRPr="000160C5">
        <w:rPr>
          <w:rFonts w:ascii="Times New Roman" w:hAnsi="Times New Roman" w:cs="Times New Roman"/>
          <w:sz w:val="28"/>
          <w:szCs w:val="28"/>
        </w:rPr>
        <w:t xml:space="preserve"> достоверной информацией </w:t>
      </w:r>
      <w:r w:rsidR="000308E6" w:rsidRPr="000160C5">
        <w:rPr>
          <w:rFonts w:ascii="Times New Roman" w:hAnsi="Times New Roman" w:cs="Times New Roman"/>
          <w:sz w:val="28"/>
          <w:szCs w:val="28"/>
        </w:rPr>
        <w:t xml:space="preserve">и ясными правилами честной </w:t>
      </w:r>
      <w:r w:rsidR="00A469C1" w:rsidRPr="000160C5">
        <w:rPr>
          <w:rFonts w:ascii="Times New Roman" w:hAnsi="Times New Roman" w:cs="Times New Roman"/>
          <w:sz w:val="28"/>
          <w:szCs w:val="28"/>
        </w:rPr>
        <w:t xml:space="preserve">биржевой </w:t>
      </w:r>
      <w:r w:rsidR="000308E6" w:rsidRPr="000160C5">
        <w:rPr>
          <w:rFonts w:ascii="Times New Roman" w:hAnsi="Times New Roman" w:cs="Times New Roman"/>
          <w:sz w:val="28"/>
          <w:szCs w:val="28"/>
        </w:rPr>
        <w:t xml:space="preserve">торговли. Стабильность фондового рынка и защита инвесторов в рамках имплементации вновь принятых законов стали основными задачами </w:t>
      </w:r>
      <w:r w:rsidR="00A469C1" w:rsidRPr="000160C5">
        <w:rPr>
          <w:rFonts w:ascii="Times New Roman" w:hAnsi="Times New Roman" w:cs="Times New Roman"/>
          <w:sz w:val="28"/>
          <w:szCs w:val="28"/>
        </w:rPr>
        <w:t>образованной К</w:t>
      </w:r>
      <w:r w:rsidR="000308E6" w:rsidRPr="000160C5">
        <w:rPr>
          <w:rFonts w:ascii="Times New Roman" w:hAnsi="Times New Roman" w:cs="Times New Roman"/>
          <w:sz w:val="28"/>
          <w:szCs w:val="28"/>
        </w:rPr>
        <w:t>омис</w:t>
      </w:r>
      <w:r w:rsidR="00FE5F39" w:rsidRPr="000160C5">
        <w:rPr>
          <w:rFonts w:ascii="Times New Roman" w:hAnsi="Times New Roman" w:cs="Times New Roman"/>
          <w:sz w:val="28"/>
          <w:szCs w:val="28"/>
        </w:rPr>
        <w:t>с</w:t>
      </w:r>
      <w:r w:rsidR="000308E6" w:rsidRPr="000160C5">
        <w:rPr>
          <w:rFonts w:ascii="Times New Roman" w:hAnsi="Times New Roman" w:cs="Times New Roman"/>
          <w:sz w:val="28"/>
          <w:szCs w:val="28"/>
        </w:rPr>
        <w:t xml:space="preserve">ии США.   </w:t>
      </w:r>
    </w:p>
    <w:p w:rsidR="0014575B" w:rsidRPr="000160C5" w:rsidRDefault="00A469C1"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Исходя из сказанного</w:t>
      </w:r>
      <w:r w:rsidR="0014575B" w:rsidRPr="000160C5">
        <w:rPr>
          <w:rFonts w:ascii="Times New Roman" w:hAnsi="Times New Roman" w:cs="Times New Roman"/>
          <w:sz w:val="28"/>
          <w:szCs w:val="28"/>
        </w:rPr>
        <w:t xml:space="preserve">, очевидна стабильность регулятора США в противовес российскому регулятору. </w:t>
      </w:r>
      <w:r w:rsidR="00EE649C" w:rsidRPr="000160C5">
        <w:rPr>
          <w:rFonts w:ascii="Times New Roman" w:hAnsi="Times New Roman" w:cs="Times New Roman"/>
          <w:sz w:val="28"/>
          <w:szCs w:val="28"/>
        </w:rPr>
        <w:t>Стоит указать на существующую</w:t>
      </w:r>
      <w:r w:rsidR="0014575B" w:rsidRPr="000160C5">
        <w:rPr>
          <w:rFonts w:ascii="Times New Roman" w:hAnsi="Times New Roman" w:cs="Times New Roman"/>
          <w:sz w:val="28"/>
          <w:szCs w:val="28"/>
        </w:rPr>
        <w:t xml:space="preserve"> разниц</w:t>
      </w:r>
      <w:r w:rsidR="00EE649C" w:rsidRPr="000160C5">
        <w:rPr>
          <w:rFonts w:ascii="Times New Roman" w:hAnsi="Times New Roman" w:cs="Times New Roman"/>
          <w:sz w:val="28"/>
          <w:szCs w:val="28"/>
        </w:rPr>
        <w:t>у</w:t>
      </w:r>
      <w:r w:rsidR="0014575B" w:rsidRPr="000160C5">
        <w:rPr>
          <w:rFonts w:ascii="Times New Roman" w:hAnsi="Times New Roman" w:cs="Times New Roman"/>
          <w:sz w:val="28"/>
          <w:szCs w:val="28"/>
        </w:rPr>
        <w:t xml:space="preserve"> в нормативном регулировании </w:t>
      </w:r>
      <w:r w:rsidRPr="000160C5">
        <w:rPr>
          <w:rFonts w:ascii="Times New Roman" w:hAnsi="Times New Roman" w:cs="Times New Roman"/>
          <w:sz w:val="28"/>
          <w:szCs w:val="28"/>
        </w:rPr>
        <w:t xml:space="preserve">режима </w:t>
      </w:r>
      <w:r w:rsidR="00EE649C" w:rsidRPr="000160C5">
        <w:rPr>
          <w:rFonts w:ascii="Times New Roman" w:hAnsi="Times New Roman" w:cs="Times New Roman"/>
          <w:sz w:val="28"/>
          <w:szCs w:val="28"/>
        </w:rPr>
        <w:t>соответствующих</w:t>
      </w:r>
      <w:r w:rsidR="0014575B" w:rsidRPr="000160C5">
        <w:rPr>
          <w:rFonts w:ascii="Times New Roman" w:hAnsi="Times New Roman" w:cs="Times New Roman"/>
          <w:sz w:val="28"/>
          <w:szCs w:val="28"/>
        </w:rPr>
        <w:t xml:space="preserve"> органов: если Комиссия США создана и существует на основе закона</w:t>
      </w:r>
      <w:r w:rsidR="00EE649C" w:rsidRPr="000160C5">
        <w:rPr>
          <w:rFonts w:ascii="Times New Roman" w:hAnsi="Times New Roman" w:cs="Times New Roman"/>
          <w:sz w:val="28"/>
          <w:szCs w:val="28"/>
        </w:rPr>
        <w:t xml:space="preserve">, то российский регулятор </w:t>
      </w:r>
      <w:r w:rsidR="0056177E" w:rsidRPr="000160C5">
        <w:rPr>
          <w:rFonts w:ascii="Times New Roman" w:hAnsi="Times New Roman" w:cs="Times New Roman"/>
          <w:sz w:val="28"/>
          <w:szCs w:val="28"/>
        </w:rPr>
        <w:t>созда</w:t>
      </w:r>
      <w:r w:rsidR="00433F7B" w:rsidRPr="000160C5">
        <w:rPr>
          <w:rFonts w:ascii="Times New Roman" w:hAnsi="Times New Roman" w:cs="Times New Roman"/>
          <w:sz w:val="28"/>
          <w:szCs w:val="28"/>
        </w:rPr>
        <w:t>е</w:t>
      </w:r>
      <w:r w:rsidR="0056177E" w:rsidRPr="000160C5">
        <w:rPr>
          <w:rFonts w:ascii="Times New Roman" w:hAnsi="Times New Roman" w:cs="Times New Roman"/>
          <w:sz w:val="28"/>
          <w:szCs w:val="28"/>
        </w:rPr>
        <w:t xml:space="preserve">тся и </w:t>
      </w:r>
      <w:r w:rsidR="00EE649C" w:rsidRPr="000160C5">
        <w:rPr>
          <w:rFonts w:ascii="Times New Roman" w:hAnsi="Times New Roman" w:cs="Times New Roman"/>
          <w:sz w:val="28"/>
          <w:szCs w:val="28"/>
        </w:rPr>
        <w:t xml:space="preserve">существует в силу </w:t>
      </w:r>
      <w:r w:rsidR="0056177E" w:rsidRPr="000160C5">
        <w:rPr>
          <w:rFonts w:ascii="Times New Roman" w:hAnsi="Times New Roman" w:cs="Times New Roman"/>
          <w:sz w:val="28"/>
          <w:szCs w:val="28"/>
        </w:rPr>
        <w:t>подзаконных актов – Указов Президента, образовывающих федеральны</w:t>
      </w:r>
      <w:r w:rsidRPr="000160C5">
        <w:rPr>
          <w:rFonts w:ascii="Times New Roman" w:hAnsi="Times New Roman" w:cs="Times New Roman"/>
          <w:sz w:val="28"/>
          <w:szCs w:val="28"/>
        </w:rPr>
        <w:t>е</w:t>
      </w:r>
      <w:r w:rsidR="0056177E" w:rsidRPr="000160C5">
        <w:rPr>
          <w:rFonts w:ascii="Times New Roman" w:hAnsi="Times New Roman" w:cs="Times New Roman"/>
          <w:sz w:val="28"/>
          <w:szCs w:val="28"/>
        </w:rPr>
        <w:t xml:space="preserve"> орган</w:t>
      </w:r>
      <w:r w:rsidRPr="000160C5">
        <w:rPr>
          <w:rFonts w:ascii="Times New Roman" w:hAnsi="Times New Roman" w:cs="Times New Roman"/>
          <w:sz w:val="28"/>
          <w:szCs w:val="28"/>
        </w:rPr>
        <w:t>ы</w:t>
      </w:r>
      <w:r w:rsidR="0056177E" w:rsidRPr="000160C5">
        <w:rPr>
          <w:rFonts w:ascii="Times New Roman" w:hAnsi="Times New Roman" w:cs="Times New Roman"/>
          <w:sz w:val="28"/>
          <w:szCs w:val="28"/>
        </w:rPr>
        <w:t xml:space="preserve"> исполнительной власти, и Постановлений Правительства, определяющих полномочия и организацию деятельности орган</w:t>
      </w:r>
      <w:r w:rsidRPr="000160C5">
        <w:rPr>
          <w:rFonts w:ascii="Times New Roman" w:hAnsi="Times New Roman" w:cs="Times New Roman"/>
          <w:sz w:val="28"/>
          <w:szCs w:val="28"/>
        </w:rPr>
        <w:t>ов</w:t>
      </w:r>
      <w:r w:rsidR="0056177E" w:rsidRPr="000160C5">
        <w:rPr>
          <w:rFonts w:ascii="Times New Roman" w:hAnsi="Times New Roman" w:cs="Times New Roman"/>
          <w:sz w:val="28"/>
          <w:szCs w:val="28"/>
        </w:rPr>
        <w:t>.</w:t>
      </w:r>
      <w:r w:rsidR="00433F7B" w:rsidRPr="000160C5">
        <w:rPr>
          <w:rFonts w:ascii="Times New Roman" w:hAnsi="Times New Roman" w:cs="Times New Roman"/>
          <w:sz w:val="28"/>
          <w:szCs w:val="28"/>
        </w:rPr>
        <w:t xml:space="preserve"> Возможно, данное обстоятельство является определяющим </w:t>
      </w:r>
      <w:r w:rsidR="006F4FBE" w:rsidRPr="000160C5">
        <w:rPr>
          <w:rFonts w:ascii="Times New Roman" w:hAnsi="Times New Roman" w:cs="Times New Roman"/>
          <w:sz w:val="28"/>
          <w:szCs w:val="28"/>
        </w:rPr>
        <w:t>в части</w:t>
      </w:r>
      <w:r w:rsidR="00433F7B" w:rsidRPr="000160C5">
        <w:rPr>
          <w:rFonts w:ascii="Times New Roman" w:hAnsi="Times New Roman" w:cs="Times New Roman"/>
          <w:sz w:val="28"/>
          <w:szCs w:val="28"/>
        </w:rPr>
        <w:t xml:space="preserve"> </w:t>
      </w:r>
      <w:r w:rsidR="006F4FBE" w:rsidRPr="000160C5">
        <w:rPr>
          <w:rFonts w:ascii="Times New Roman" w:hAnsi="Times New Roman" w:cs="Times New Roman"/>
          <w:sz w:val="28"/>
          <w:szCs w:val="28"/>
        </w:rPr>
        <w:t>нестабильности</w:t>
      </w:r>
      <w:r w:rsidR="00433F7B" w:rsidRPr="000160C5">
        <w:rPr>
          <w:rFonts w:ascii="Times New Roman" w:hAnsi="Times New Roman" w:cs="Times New Roman"/>
          <w:sz w:val="28"/>
          <w:szCs w:val="28"/>
        </w:rPr>
        <w:t xml:space="preserve"> регулятор</w:t>
      </w:r>
      <w:r w:rsidR="006F4FBE" w:rsidRPr="000160C5">
        <w:rPr>
          <w:rFonts w:ascii="Times New Roman" w:hAnsi="Times New Roman" w:cs="Times New Roman"/>
          <w:sz w:val="28"/>
          <w:szCs w:val="28"/>
        </w:rPr>
        <w:t>а</w:t>
      </w:r>
      <w:r w:rsidR="00433F7B" w:rsidRPr="000160C5">
        <w:rPr>
          <w:rFonts w:ascii="Times New Roman" w:hAnsi="Times New Roman" w:cs="Times New Roman"/>
          <w:sz w:val="28"/>
          <w:szCs w:val="28"/>
        </w:rPr>
        <w:t xml:space="preserve"> рынка ценных бумаг, как и любого другого федерального органа исполнительной власти</w:t>
      </w:r>
      <w:r w:rsidR="006F4FBE" w:rsidRPr="000160C5">
        <w:rPr>
          <w:rFonts w:ascii="Times New Roman" w:hAnsi="Times New Roman" w:cs="Times New Roman"/>
          <w:sz w:val="28"/>
          <w:szCs w:val="28"/>
        </w:rPr>
        <w:t xml:space="preserve"> в России</w:t>
      </w:r>
      <w:r w:rsidR="00433F7B" w:rsidRPr="000160C5">
        <w:rPr>
          <w:rFonts w:ascii="Times New Roman" w:hAnsi="Times New Roman" w:cs="Times New Roman"/>
          <w:sz w:val="28"/>
          <w:szCs w:val="28"/>
        </w:rPr>
        <w:t xml:space="preserve">. </w:t>
      </w:r>
      <w:r w:rsidR="0056177E" w:rsidRPr="000160C5">
        <w:rPr>
          <w:rFonts w:ascii="Times New Roman" w:hAnsi="Times New Roman" w:cs="Times New Roman"/>
          <w:sz w:val="28"/>
          <w:szCs w:val="28"/>
        </w:rPr>
        <w:t xml:space="preserve"> </w:t>
      </w:r>
    </w:p>
    <w:p w:rsidR="004B3A7E" w:rsidRPr="000160C5" w:rsidRDefault="00A758E2"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Стоит уделить внимание порядку организации деятельности </w:t>
      </w:r>
      <w:r w:rsidR="00FA3B35" w:rsidRPr="000160C5">
        <w:rPr>
          <w:rFonts w:ascii="Times New Roman" w:hAnsi="Times New Roman" w:cs="Times New Roman"/>
          <w:sz w:val="28"/>
          <w:szCs w:val="28"/>
        </w:rPr>
        <w:t>американского и российского</w:t>
      </w:r>
      <w:r w:rsidRPr="000160C5">
        <w:rPr>
          <w:rFonts w:ascii="Times New Roman" w:hAnsi="Times New Roman" w:cs="Times New Roman"/>
          <w:sz w:val="28"/>
          <w:szCs w:val="28"/>
        </w:rPr>
        <w:t xml:space="preserve"> регулятор</w:t>
      </w:r>
      <w:r w:rsidR="00FA3B35" w:rsidRPr="000160C5">
        <w:rPr>
          <w:rFonts w:ascii="Times New Roman" w:hAnsi="Times New Roman" w:cs="Times New Roman"/>
          <w:sz w:val="28"/>
          <w:szCs w:val="28"/>
        </w:rPr>
        <w:t>ов</w:t>
      </w:r>
      <w:r w:rsidRPr="000160C5">
        <w:rPr>
          <w:rFonts w:ascii="Times New Roman" w:hAnsi="Times New Roman" w:cs="Times New Roman"/>
          <w:sz w:val="28"/>
          <w:szCs w:val="28"/>
        </w:rPr>
        <w:t xml:space="preserve"> с точки зрения распределения </w:t>
      </w:r>
      <w:r w:rsidR="00FA3B35" w:rsidRPr="000160C5">
        <w:rPr>
          <w:rFonts w:ascii="Times New Roman" w:hAnsi="Times New Roman" w:cs="Times New Roman"/>
          <w:sz w:val="28"/>
          <w:szCs w:val="28"/>
        </w:rPr>
        <w:t xml:space="preserve">их </w:t>
      </w:r>
      <w:r w:rsidRPr="000160C5">
        <w:rPr>
          <w:rFonts w:ascii="Times New Roman" w:hAnsi="Times New Roman" w:cs="Times New Roman"/>
          <w:sz w:val="28"/>
          <w:szCs w:val="28"/>
        </w:rPr>
        <w:t xml:space="preserve">полномочий по регулированию раскрытия информации на рынке ценных бумаг. </w:t>
      </w:r>
    </w:p>
    <w:p w:rsidR="00FA3B35" w:rsidRPr="000160C5" w:rsidRDefault="004B3A7E"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Комиссия США состоит из пяти управлений</w:t>
      </w:r>
      <w:r w:rsidR="0075040E" w:rsidRPr="000160C5">
        <w:rPr>
          <w:rFonts w:ascii="Times New Roman" w:hAnsi="Times New Roman" w:cs="Times New Roman"/>
          <w:sz w:val="28"/>
          <w:szCs w:val="28"/>
        </w:rPr>
        <w:t xml:space="preserve">, каждое из которых отвечает за свой участок. В частности, в круг </w:t>
      </w:r>
      <w:r w:rsidR="00A469C1" w:rsidRPr="000160C5">
        <w:rPr>
          <w:rFonts w:ascii="Times New Roman" w:hAnsi="Times New Roman" w:cs="Times New Roman"/>
          <w:sz w:val="28"/>
          <w:szCs w:val="28"/>
        </w:rPr>
        <w:t xml:space="preserve">основных </w:t>
      </w:r>
      <w:r w:rsidR="0075040E" w:rsidRPr="000160C5">
        <w:rPr>
          <w:rFonts w:ascii="Times New Roman" w:hAnsi="Times New Roman" w:cs="Times New Roman"/>
          <w:sz w:val="28"/>
          <w:szCs w:val="28"/>
        </w:rPr>
        <w:t xml:space="preserve">обязанностей </w:t>
      </w:r>
      <w:r w:rsidR="00A47FAA" w:rsidRPr="000160C5">
        <w:rPr>
          <w:rFonts w:ascii="Times New Roman" w:hAnsi="Times New Roman" w:cs="Times New Roman"/>
          <w:sz w:val="28"/>
          <w:szCs w:val="28"/>
        </w:rPr>
        <w:t>У</w:t>
      </w:r>
      <w:r w:rsidR="0075040E" w:rsidRPr="000160C5">
        <w:rPr>
          <w:rFonts w:ascii="Times New Roman" w:hAnsi="Times New Roman" w:cs="Times New Roman"/>
          <w:sz w:val="28"/>
          <w:szCs w:val="28"/>
        </w:rPr>
        <w:t xml:space="preserve">правления корпоративных финансов (Division of Corporation Finance) входит надзор за осуществлением корпорациями надлежащего раскрытия информации. Сотрудники Комиссии США анализируют документы, </w:t>
      </w:r>
      <w:r w:rsidR="00911290">
        <w:rPr>
          <w:rFonts w:ascii="Times New Roman" w:hAnsi="Times New Roman" w:cs="Times New Roman"/>
          <w:sz w:val="28"/>
          <w:szCs w:val="28"/>
        </w:rPr>
        <w:t>предоставляемые</w:t>
      </w:r>
      <w:r w:rsidR="0075040E" w:rsidRPr="000160C5">
        <w:rPr>
          <w:rFonts w:ascii="Times New Roman" w:hAnsi="Times New Roman" w:cs="Times New Roman"/>
          <w:sz w:val="28"/>
          <w:szCs w:val="28"/>
        </w:rPr>
        <w:t xml:space="preserve"> корпорациями, а также оказывают </w:t>
      </w:r>
      <w:r w:rsidR="00F02D8D" w:rsidRPr="000160C5">
        <w:rPr>
          <w:rFonts w:ascii="Times New Roman" w:hAnsi="Times New Roman" w:cs="Times New Roman"/>
          <w:sz w:val="28"/>
          <w:szCs w:val="28"/>
        </w:rPr>
        <w:t xml:space="preserve">консультационную </w:t>
      </w:r>
      <w:r w:rsidR="0075040E" w:rsidRPr="000160C5">
        <w:rPr>
          <w:rFonts w:ascii="Times New Roman" w:hAnsi="Times New Roman" w:cs="Times New Roman"/>
          <w:sz w:val="28"/>
          <w:szCs w:val="28"/>
        </w:rPr>
        <w:t xml:space="preserve">помощь </w:t>
      </w:r>
      <w:r w:rsidR="00F02D8D" w:rsidRPr="000160C5">
        <w:rPr>
          <w:rFonts w:ascii="Times New Roman" w:hAnsi="Times New Roman" w:cs="Times New Roman"/>
          <w:sz w:val="28"/>
          <w:szCs w:val="28"/>
        </w:rPr>
        <w:t>эмитентам</w:t>
      </w:r>
      <w:r w:rsidR="0075040E" w:rsidRPr="000160C5">
        <w:rPr>
          <w:rFonts w:ascii="Times New Roman" w:hAnsi="Times New Roman" w:cs="Times New Roman"/>
          <w:sz w:val="28"/>
          <w:szCs w:val="28"/>
        </w:rPr>
        <w:t xml:space="preserve"> в части интерпретации </w:t>
      </w:r>
      <w:r w:rsidR="00951CFB" w:rsidRPr="000160C5">
        <w:rPr>
          <w:rFonts w:ascii="Times New Roman" w:hAnsi="Times New Roman" w:cs="Times New Roman"/>
          <w:sz w:val="28"/>
          <w:szCs w:val="28"/>
        </w:rPr>
        <w:t>законодательства</w:t>
      </w:r>
      <w:r w:rsidR="0075040E" w:rsidRPr="000160C5">
        <w:rPr>
          <w:rFonts w:ascii="Times New Roman" w:hAnsi="Times New Roman" w:cs="Times New Roman"/>
          <w:sz w:val="28"/>
          <w:szCs w:val="28"/>
        </w:rPr>
        <w:t xml:space="preserve"> и положений Комисси</w:t>
      </w:r>
      <w:r w:rsidR="00951CFB" w:rsidRPr="000160C5">
        <w:rPr>
          <w:rFonts w:ascii="Times New Roman" w:hAnsi="Times New Roman" w:cs="Times New Roman"/>
          <w:sz w:val="28"/>
          <w:szCs w:val="28"/>
        </w:rPr>
        <w:t>и</w:t>
      </w:r>
      <w:r w:rsidR="0075040E" w:rsidRPr="000160C5">
        <w:rPr>
          <w:rFonts w:ascii="Times New Roman" w:hAnsi="Times New Roman" w:cs="Times New Roman"/>
          <w:sz w:val="28"/>
          <w:szCs w:val="28"/>
        </w:rPr>
        <w:t xml:space="preserve"> США</w:t>
      </w:r>
      <w:r w:rsidR="00FA3B35" w:rsidRPr="000160C5">
        <w:rPr>
          <w:rFonts w:ascii="Times New Roman" w:hAnsi="Times New Roman" w:cs="Times New Roman"/>
          <w:sz w:val="28"/>
          <w:szCs w:val="28"/>
        </w:rPr>
        <w:t>, касающих</w:t>
      </w:r>
      <w:r w:rsidR="00F02D8D" w:rsidRPr="000160C5">
        <w:rPr>
          <w:rFonts w:ascii="Times New Roman" w:hAnsi="Times New Roman" w:cs="Times New Roman"/>
          <w:sz w:val="28"/>
          <w:szCs w:val="28"/>
        </w:rPr>
        <w:t>ся</w:t>
      </w:r>
      <w:r w:rsidR="0075040E" w:rsidRPr="000160C5">
        <w:rPr>
          <w:rFonts w:ascii="Times New Roman" w:hAnsi="Times New Roman" w:cs="Times New Roman"/>
          <w:sz w:val="28"/>
          <w:szCs w:val="28"/>
        </w:rPr>
        <w:t xml:space="preserve"> порядк</w:t>
      </w:r>
      <w:r w:rsidR="00F02D8D" w:rsidRPr="000160C5">
        <w:rPr>
          <w:rFonts w:ascii="Times New Roman" w:hAnsi="Times New Roman" w:cs="Times New Roman"/>
          <w:sz w:val="28"/>
          <w:szCs w:val="28"/>
        </w:rPr>
        <w:t>а</w:t>
      </w:r>
      <w:r w:rsidR="0075040E" w:rsidRPr="000160C5">
        <w:rPr>
          <w:rFonts w:ascii="Times New Roman" w:hAnsi="Times New Roman" w:cs="Times New Roman"/>
          <w:sz w:val="28"/>
          <w:szCs w:val="28"/>
        </w:rPr>
        <w:t xml:space="preserve"> раскрытия информации.   </w:t>
      </w:r>
      <w:r w:rsidR="00A758E2" w:rsidRPr="000160C5">
        <w:rPr>
          <w:rFonts w:ascii="Times New Roman" w:hAnsi="Times New Roman" w:cs="Times New Roman"/>
          <w:sz w:val="28"/>
          <w:szCs w:val="28"/>
        </w:rPr>
        <w:t xml:space="preserve"> </w:t>
      </w:r>
    </w:p>
    <w:p w:rsidR="00F02D8D" w:rsidRPr="000160C5" w:rsidRDefault="00951CFB"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lastRenderedPageBreak/>
        <w:t xml:space="preserve">Например, </w:t>
      </w:r>
      <w:r w:rsidR="00F02D8D" w:rsidRPr="000160C5">
        <w:rPr>
          <w:rFonts w:ascii="Times New Roman" w:hAnsi="Times New Roman" w:cs="Times New Roman"/>
          <w:sz w:val="28"/>
          <w:szCs w:val="28"/>
        </w:rPr>
        <w:t>эмитент</w:t>
      </w:r>
      <w:r w:rsidRPr="000160C5">
        <w:rPr>
          <w:rFonts w:ascii="Times New Roman" w:hAnsi="Times New Roman" w:cs="Times New Roman"/>
          <w:sz w:val="28"/>
          <w:szCs w:val="28"/>
        </w:rPr>
        <w:t xml:space="preserve"> может обратиться по вопросу необходимости регистрации выпуска ценных бумаг в Комисси</w:t>
      </w:r>
      <w:r w:rsidR="00FA3B35" w:rsidRPr="000160C5">
        <w:rPr>
          <w:rFonts w:ascii="Times New Roman" w:hAnsi="Times New Roman" w:cs="Times New Roman"/>
          <w:sz w:val="28"/>
          <w:szCs w:val="28"/>
        </w:rPr>
        <w:t>ю</w:t>
      </w:r>
      <w:r w:rsidRPr="000160C5">
        <w:rPr>
          <w:rFonts w:ascii="Times New Roman" w:hAnsi="Times New Roman" w:cs="Times New Roman"/>
          <w:sz w:val="28"/>
          <w:szCs w:val="28"/>
        </w:rPr>
        <w:t xml:space="preserve"> США</w:t>
      </w:r>
      <w:r w:rsidR="00A43909" w:rsidRPr="000160C5">
        <w:rPr>
          <w:rFonts w:ascii="Times New Roman" w:hAnsi="Times New Roman" w:cs="Times New Roman"/>
          <w:sz w:val="28"/>
          <w:szCs w:val="28"/>
        </w:rPr>
        <w:t>, и сотрудники Комиссии США должны дать соответствующую консультацию по вопросу соблюдения требований к порядку</w:t>
      </w:r>
      <w:r w:rsidR="00FA3B35" w:rsidRPr="000160C5">
        <w:rPr>
          <w:rFonts w:ascii="Times New Roman" w:hAnsi="Times New Roman" w:cs="Times New Roman"/>
          <w:sz w:val="28"/>
          <w:szCs w:val="28"/>
        </w:rPr>
        <w:t xml:space="preserve"> и объему</w:t>
      </w:r>
      <w:r w:rsidR="00A43909" w:rsidRPr="000160C5">
        <w:rPr>
          <w:rFonts w:ascii="Times New Roman" w:hAnsi="Times New Roman" w:cs="Times New Roman"/>
          <w:sz w:val="28"/>
          <w:szCs w:val="28"/>
        </w:rPr>
        <w:t xml:space="preserve"> раскрытия информации.</w:t>
      </w:r>
      <w:r w:rsidR="00F02D8D" w:rsidRPr="000160C5">
        <w:rPr>
          <w:rFonts w:ascii="Times New Roman" w:hAnsi="Times New Roman" w:cs="Times New Roman"/>
          <w:sz w:val="28"/>
          <w:szCs w:val="28"/>
        </w:rPr>
        <w:t xml:space="preserve"> </w:t>
      </w:r>
      <w:r w:rsidR="00A43909" w:rsidRPr="000160C5">
        <w:rPr>
          <w:rFonts w:ascii="Times New Roman" w:hAnsi="Times New Roman" w:cs="Times New Roman"/>
          <w:sz w:val="28"/>
          <w:szCs w:val="28"/>
        </w:rPr>
        <w:t xml:space="preserve"> </w:t>
      </w:r>
    </w:p>
    <w:p w:rsidR="00792A9D" w:rsidRPr="000160C5" w:rsidRDefault="00B81E0D"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Численность Комиссии США насчитывает около 3 500 сотрудников</w:t>
      </w:r>
      <w:r w:rsidRPr="000160C5">
        <w:rPr>
          <w:rStyle w:val="a9"/>
          <w:rFonts w:ascii="Times New Roman" w:hAnsi="Times New Roman" w:cs="Times New Roman"/>
          <w:sz w:val="28"/>
          <w:szCs w:val="28"/>
        </w:rPr>
        <w:footnoteReference w:id="18"/>
      </w:r>
      <w:r w:rsidRPr="000160C5">
        <w:rPr>
          <w:rFonts w:ascii="Times New Roman" w:hAnsi="Times New Roman" w:cs="Times New Roman"/>
          <w:sz w:val="28"/>
          <w:szCs w:val="28"/>
        </w:rPr>
        <w:t xml:space="preserve">, таким образом, достаточное количество персонала вовлечено в анализ </w:t>
      </w:r>
      <w:r w:rsidR="00F02D8D" w:rsidRPr="000160C5">
        <w:rPr>
          <w:rFonts w:ascii="Times New Roman" w:hAnsi="Times New Roman" w:cs="Times New Roman"/>
          <w:sz w:val="28"/>
          <w:szCs w:val="28"/>
        </w:rPr>
        <w:t>раскрываемой</w:t>
      </w:r>
      <w:r w:rsidRPr="000160C5">
        <w:rPr>
          <w:rFonts w:ascii="Times New Roman" w:hAnsi="Times New Roman" w:cs="Times New Roman"/>
          <w:sz w:val="28"/>
          <w:szCs w:val="28"/>
        </w:rPr>
        <w:t xml:space="preserve"> эмитентами информации и разработку повышения качества раскрываемой информации. </w:t>
      </w:r>
    </w:p>
    <w:p w:rsidR="0076144F" w:rsidRPr="000160C5" w:rsidRDefault="00792A9D"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Структура </w:t>
      </w:r>
      <w:r w:rsidR="00A47FAA" w:rsidRPr="000160C5">
        <w:rPr>
          <w:rFonts w:ascii="Times New Roman" w:hAnsi="Times New Roman" w:cs="Times New Roman"/>
          <w:sz w:val="28"/>
          <w:szCs w:val="28"/>
        </w:rPr>
        <w:t>ФС</w:t>
      </w:r>
      <w:r w:rsidRPr="000160C5">
        <w:rPr>
          <w:rFonts w:ascii="Times New Roman" w:hAnsi="Times New Roman" w:cs="Times New Roman"/>
          <w:sz w:val="28"/>
          <w:szCs w:val="28"/>
        </w:rPr>
        <w:t>Ф</w:t>
      </w:r>
      <w:r w:rsidR="00A47FAA" w:rsidRPr="000160C5">
        <w:rPr>
          <w:rFonts w:ascii="Times New Roman" w:hAnsi="Times New Roman" w:cs="Times New Roman"/>
          <w:sz w:val="28"/>
          <w:szCs w:val="28"/>
        </w:rPr>
        <w:t>Р</w:t>
      </w:r>
      <w:r w:rsidRPr="000160C5">
        <w:rPr>
          <w:rFonts w:ascii="Times New Roman" w:hAnsi="Times New Roman" w:cs="Times New Roman"/>
          <w:sz w:val="28"/>
          <w:szCs w:val="28"/>
        </w:rPr>
        <w:t xml:space="preserve"> включает в себя тринадцать управлений и один самостоятельный отдел, </w:t>
      </w:r>
      <w:r w:rsidR="00A47FAA" w:rsidRPr="000160C5">
        <w:rPr>
          <w:rFonts w:ascii="Times New Roman" w:hAnsi="Times New Roman" w:cs="Times New Roman"/>
          <w:sz w:val="28"/>
          <w:szCs w:val="28"/>
        </w:rPr>
        <w:t>за каждым из которых закреплен</w:t>
      </w:r>
      <w:r w:rsidRPr="000160C5">
        <w:rPr>
          <w:rFonts w:ascii="Times New Roman" w:hAnsi="Times New Roman" w:cs="Times New Roman"/>
          <w:sz w:val="28"/>
          <w:szCs w:val="28"/>
        </w:rPr>
        <w:t xml:space="preserve"> определенный круг обязанностей. </w:t>
      </w:r>
      <w:r w:rsidR="00A47FAA" w:rsidRPr="000160C5">
        <w:rPr>
          <w:rFonts w:ascii="Times New Roman" w:hAnsi="Times New Roman" w:cs="Times New Roman"/>
          <w:sz w:val="28"/>
          <w:szCs w:val="28"/>
        </w:rPr>
        <w:t>Раскрытие информации эмитентами находится в компетенции О</w:t>
      </w:r>
      <w:r w:rsidR="007D2625" w:rsidRPr="000160C5">
        <w:rPr>
          <w:rFonts w:ascii="Times New Roman" w:hAnsi="Times New Roman" w:cs="Times New Roman"/>
          <w:sz w:val="28"/>
          <w:szCs w:val="28"/>
        </w:rPr>
        <w:t>тдел</w:t>
      </w:r>
      <w:r w:rsidR="00A47FAA" w:rsidRPr="000160C5">
        <w:rPr>
          <w:rFonts w:ascii="Times New Roman" w:hAnsi="Times New Roman" w:cs="Times New Roman"/>
          <w:sz w:val="28"/>
          <w:szCs w:val="28"/>
        </w:rPr>
        <w:t>а</w:t>
      </w:r>
      <w:r w:rsidR="007D2625" w:rsidRPr="000160C5">
        <w:rPr>
          <w:rFonts w:ascii="Times New Roman" w:hAnsi="Times New Roman" w:cs="Times New Roman"/>
          <w:sz w:val="28"/>
          <w:szCs w:val="28"/>
        </w:rPr>
        <w:t xml:space="preserve"> учета и раскрытия информации эмитентами ценных бумаг</w:t>
      </w:r>
      <w:r w:rsidR="00A47FAA" w:rsidRPr="000160C5">
        <w:rPr>
          <w:rFonts w:ascii="Times New Roman" w:hAnsi="Times New Roman" w:cs="Times New Roman"/>
          <w:sz w:val="28"/>
          <w:szCs w:val="28"/>
        </w:rPr>
        <w:t>,</w:t>
      </w:r>
      <w:r w:rsidR="007D2625" w:rsidRPr="000160C5">
        <w:rPr>
          <w:rFonts w:ascii="Times New Roman" w:hAnsi="Times New Roman" w:cs="Times New Roman"/>
          <w:sz w:val="28"/>
          <w:szCs w:val="28"/>
        </w:rPr>
        <w:t xml:space="preserve"> </w:t>
      </w:r>
      <w:r w:rsidR="00FA3B35" w:rsidRPr="000160C5">
        <w:rPr>
          <w:rFonts w:ascii="Times New Roman" w:hAnsi="Times New Roman" w:cs="Times New Roman"/>
          <w:sz w:val="28"/>
          <w:szCs w:val="28"/>
        </w:rPr>
        <w:t xml:space="preserve">являющегося </w:t>
      </w:r>
      <w:r w:rsidR="00A47FAA" w:rsidRPr="000160C5">
        <w:rPr>
          <w:rFonts w:ascii="Times New Roman" w:hAnsi="Times New Roman" w:cs="Times New Roman"/>
          <w:sz w:val="28"/>
          <w:szCs w:val="28"/>
        </w:rPr>
        <w:t>структурн</w:t>
      </w:r>
      <w:r w:rsidR="00FA3B35" w:rsidRPr="000160C5">
        <w:rPr>
          <w:rFonts w:ascii="Times New Roman" w:hAnsi="Times New Roman" w:cs="Times New Roman"/>
          <w:sz w:val="28"/>
          <w:szCs w:val="28"/>
        </w:rPr>
        <w:t>ым</w:t>
      </w:r>
      <w:r w:rsidR="00A47FAA" w:rsidRPr="000160C5">
        <w:rPr>
          <w:rFonts w:ascii="Times New Roman" w:hAnsi="Times New Roman" w:cs="Times New Roman"/>
          <w:sz w:val="28"/>
          <w:szCs w:val="28"/>
        </w:rPr>
        <w:t xml:space="preserve"> подразделени</w:t>
      </w:r>
      <w:r w:rsidR="00FA3B35" w:rsidRPr="000160C5">
        <w:rPr>
          <w:rFonts w:ascii="Times New Roman" w:hAnsi="Times New Roman" w:cs="Times New Roman"/>
          <w:sz w:val="28"/>
          <w:szCs w:val="28"/>
        </w:rPr>
        <w:t>ем</w:t>
      </w:r>
      <w:r w:rsidR="00A47FAA" w:rsidRPr="000160C5">
        <w:rPr>
          <w:rFonts w:ascii="Times New Roman" w:hAnsi="Times New Roman" w:cs="Times New Roman"/>
          <w:sz w:val="28"/>
          <w:szCs w:val="28"/>
        </w:rPr>
        <w:t xml:space="preserve"> У</w:t>
      </w:r>
      <w:r w:rsidR="007D2625" w:rsidRPr="000160C5">
        <w:rPr>
          <w:rFonts w:ascii="Times New Roman" w:hAnsi="Times New Roman" w:cs="Times New Roman"/>
          <w:sz w:val="28"/>
          <w:szCs w:val="28"/>
        </w:rPr>
        <w:t>правлени</w:t>
      </w:r>
      <w:r w:rsidR="00A47FAA" w:rsidRPr="000160C5">
        <w:rPr>
          <w:rFonts w:ascii="Times New Roman" w:hAnsi="Times New Roman" w:cs="Times New Roman"/>
          <w:sz w:val="28"/>
          <w:szCs w:val="28"/>
        </w:rPr>
        <w:t>я</w:t>
      </w:r>
      <w:r w:rsidR="007D2625" w:rsidRPr="000160C5">
        <w:rPr>
          <w:rFonts w:ascii="Times New Roman" w:hAnsi="Times New Roman" w:cs="Times New Roman"/>
          <w:sz w:val="28"/>
          <w:szCs w:val="28"/>
        </w:rPr>
        <w:t xml:space="preserve"> информации и мониторинга финансового рынка</w:t>
      </w:r>
      <w:r w:rsidR="00A47FAA" w:rsidRPr="000160C5">
        <w:rPr>
          <w:rFonts w:ascii="Times New Roman" w:hAnsi="Times New Roman" w:cs="Times New Roman"/>
          <w:sz w:val="28"/>
          <w:szCs w:val="28"/>
        </w:rPr>
        <w:t xml:space="preserve"> ФСФР</w:t>
      </w:r>
      <w:r w:rsidR="0076144F" w:rsidRPr="000160C5">
        <w:rPr>
          <w:rFonts w:ascii="Times New Roman" w:hAnsi="Times New Roman" w:cs="Times New Roman"/>
          <w:sz w:val="28"/>
          <w:szCs w:val="28"/>
        </w:rPr>
        <w:t>, существующего</w:t>
      </w:r>
      <w:r w:rsidR="007D2625" w:rsidRPr="000160C5">
        <w:rPr>
          <w:rFonts w:ascii="Times New Roman" w:hAnsi="Times New Roman" w:cs="Times New Roman"/>
          <w:sz w:val="28"/>
          <w:szCs w:val="28"/>
        </w:rPr>
        <w:t xml:space="preserve"> наряду с пятью отделами, компетенция которых не пересекается между собой, то есть фактически контролем за раскрытием информации эмитентами занимается небольшой отдел в рамках одного из тринадцати управлений ФСФР</w:t>
      </w:r>
      <w:r w:rsidRPr="000160C5">
        <w:rPr>
          <w:rStyle w:val="a9"/>
          <w:rFonts w:ascii="Times New Roman" w:hAnsi="Times New Roman" w:cs="Times New Roman"/>
          <w:sz w:val="28"/>
          <w:szCs w:val="28"/>
        </w:rPr>
        <w:footnoteReference w:id="19"/>
      </w:r>
      <w:r w:rsidR="007D2625" w:rsidRPr="000160C5">
        <w:rPr>
          <w:rFonts w:ascii="Times New Roman" w:hAnsi="Times New Roman" w:cs="Times New Roman"/>
          <w:sz w:val="28"/>
          <w:szCs w:val="28"/>
        </w:rPr>
        <w:t xml:space="preserve">. </w:t>
      </w:r>
    </w:p>
    <w:p w:rsidR="00C43262" w:rsidRPr="000160C5" w:rsidRDefault="007D2625"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Стоит отметить, что персонал российского регулятора</w:t>
      </w:r>
      <w:r w:rsidR="0076144F" w:rsidRPr="000160C5">
        <w:rPr>
          <w:rFonts w:ascii="Times New Roman" w:hAnsi="Times New Roman" w:cs="Times New Roman"/>
          <w:sz w:val="28"/>
          <w:szCs w:val="28"/>
        </w:rPr>
        <w:t>,</w:t>
      </w:r>
      <w:r w:rsidRPr="000160C5">
        <w:rPr>
          <w:rFonts w:ascii="Times New Roman" w:hAnsi="Times New Roman" w:cs="Times New Roman"/>
          <w:sz w:val="28"/>
          <w:szCs w:val="28"/>
        </w:rPr>
        <w:t xml:space="preserve"> в отличие от американского</w:t>
      </w:r>
      <w:r w:rsidR="0076144F" w:rsidRPr="000160C5">
        <w:rPr>
          <w:rFonts w:ascii="Times New Roman" w:hAnsi="Times New Roman" w:cs="Times New Roman"/>
          <w:sz w:val="28"/>
          <w:szCs w:val="28"/>
        </w:rPr>
        <w:t>,</w:t>
      </w:r>
      <w:r w:rsidRPr="000160C5">
        <w:rPr>
          <w:rFonts w:ascii="Times New Roman" w:hAnsi="Times New Roman" w:cs="Times New Roman"/>
          <w:sz w:val="28"/>
          <w:szCs w:val="28"/>
        </w:rPr>
        <w:t xml:space="preserve"> не столь многочисленный: по данным 2011 года общая численность сотрудников ФСФР составляла 1 604 человека</w:t>
      </w:r>
      <w:r w:rsidRPr="000160C5">
        <w:rPr>
          <w:rStyle w:val="a9"/>
          <w:rFonts w:ascii="Times New Roman" w:hAnsi="Times New Roman" w:cs="Times New Roman"/>
          <w:sz w:val="28"/>
          <w:szCs w:val="28"/>
        </w:rPr>
        <w:footnoteReference w:id="20"/>
      </w:r>
      <w:r w:rsidR="00C746D8" w:rsidRPr="000160C5">
        <w:rPr>
          <w:rFonts w:ascii="Times New Roman" w:hAnsi="Times New Roman" w:cs="Times New Roman"/>
          <w:sz w:val="28"/>
          <w:szCs w:val="28"/>
        </w:rPr>
        <w:t xml:space="preserve">, в связи с чем можно предположить, что на анализ раскрываемой эмитентами информации направлено </w:t>
      </w:r>
      <w:r w:rsidR="0076144F" w:rsidRPr="000160C5">
        <w:rPr>
          <w:rFonts w:ascii="Times New Roman" w:hAnsi="Times New Roman" w:cs="Times New Roman"/>
          <w:sz w:val="28"/>
          <w:szCs w:val="28"/>
        </w:rPr>
        <w:t>относительно небольшое</w:t>
      </w:r>
      <w:r w:rsidR="00C746D8" w:rsidRPr="000160C5">
        <w:rPr>
          <w:rFonts w:ascii="Times New Roman" w:hAnsi="Times New Roman" w:cs="Times New Roman"/>
          <w:sz w:val="28"/>
          <w:szCs w:val="28"/>
        </w:rPr>
        <w:t xml:space="preserve"> количество </w:t>
      </w:r>
      <w:r w:rsidR="0076144F" w:rsidRPr="000160C5">
        <w:rPr>
          <w:rFonts w:ascii="Times New Roman" w:hAnsi="Times New Roman" w:cs="Times New Roman"/>
          <w:sz w:val="28"/>
          <w:szCs w:val="28"/>
        </w:rPr>
        <w:t>кадровых резервов</w:t>
      </w:r>
      <w:r w:rsidR="00C746D8" w:rsidRPr="000160C5">
        <w:rPr>
          <w:rFonts w:ascii="Times New Roman" w:hAnsi="Times New Roman" w:cs="Times New Roman"/>
          <w:sz w:val="28"/>
          <w:szCs w:val="28"/>
        </w:rPr>
        <w:t xml:space="preserve"> по сравнению с Комиссией США</w:t>
      </w:r>
      <w:r w:rsidRPr="000160C5">
        <w:rPr>
          <w:rFonts w:ascii="Times New Roman" w:hAnsi="Times New Roman" w:cs="Times New Roman"/>
          <w:sz w:val="28"/>
          <w:szCs w:val="28"/>
        </w:rPr>
        <w:t>.</w:t>
      </w:r>
    </w:p>
    <w:p w:rsidR="0076144F" w:rsidRPr="000160C5" w:rsidRDefault="0076144F"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Итак, </w:t>
      </w:r>
      <w:r w:rsidR="000E4881" w:rsidRPr="000160C5">
        <w:rPr>
          <w:rFonts w:ascii="Times New Roman" w:hAnsi="Times New Roman" w:cs="Times New Roman"/>
          <w:sz w:val="28"/>
          <w:szCs w:val="28"/>
        </w:rPr>
        <w:t xml:space="preserve">выше сказанное подтверждает, что американский регулятор является более стабильным, нежели российский. Важным является порядок распределения компетенции в двух юрисдикциях: в Комиссии США мониторингом раскрытия информации целенаправленно занимается одно из </w:t>
      </w:r>
      <w:r w:rsidR="000E4881" w:rsidRPr="000160C5">
        <w:rPr>
          <w:rFonts w:ascii="Times New Roman" w:hAnsi="Times New Roman" w:cs="Times New Roman"/>
          <w:sz w:val="28"/>
          <w:szCs w:val="28"/>
        </w:rPr>
        <w:lastRenderedPageBreak/>
        <w:t>пяти управлений, таким образом</w:t>
      </w:r>
      <w:r w:rsidR="00372259" w:rsidRPr="000160C5">
        <w:rPr>
          <w:rFonts w:ascii="Times New Roman" w:hAnsi="Times New Roman" w:cs="Times New Roman"/>
          <w:sz w:val="28"/>
          <w:szCs w:val="28"/>
        </w:rPr>
        <w:t>,</w:t>
      </w:r>
      <w:r w:rsidR="000E4881" w:rsidRPr="000160C5">
        <w:rPr>
          <w:rFonts w:ascii="Times New Roman" w:hAnsi="Times New Roman" w:cs="Times New Roman"/>
          <w:sz w:val="28"/>
          <w:szCs w:val="28"/>
        </w:rPr>
        <w:t xml:space="preserve"> достаточное количество кадровых резервов вовлечено в данную деятельность в отличие от ФСФР, где за раскрытие информации отвечает </w:t>
      </w:r>
      <w:r w:rsidR="00FA3B35" w:rsidRPr="000160C5">
        <w:rPr>
          <w:rFonts w:ascii="Times New Roman" w:hAnsi="Times New Roman" w:cs="Times New Roman"/>
          <w:sz w:val="28"/>
          <w:szCs w:val="28"/>
        </w:rPr>
        <w:t xml:space="preserve">небольшая </w:t>
      </w:r>
      <w:r w:rsidR="000E4881" w:rsidRPr="000160C5">
        <w:rPr>
          <w:rFonts w:ascii="Times New Roman" w:hAnsi="Times New Roman" w:cs="Times New Roman"/>
          <w:sz w:val="28"/>
          <w:szCs w:val="28"/>
        </w:rPr>
        <w:t>структурная единица в рамках о</w:t>
      </w:r>
      <w:r w:rsidR="00372259" w:rsidRPr="000160C5">
        <w:rPr>
          <w:rFonts w:ascii="Times New Roman" w:hAnsi="Times New Roman" w:cs="Times New Roman"/>
          <w:sz w:val="28"/>
          <w:szCs w:val="28"/>
        </w:rPr>
        <w:t xml:space="preserve">дного из тринадцати управлений. </w:t>
      </w:r>
    </w:p>
    <w:p w:rsidR="00372259" w:rsidRPr="000160C5" w:rsidRDefault="00372259" w:rsidP="005901E8">
      <w:pPr>
        <w:keepNext/>
        <w:widowControl w:val="0"/>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Стоит отметить, что </w:t>
      </w:r>
      <w:r w:rsidR="00431626" w:rsidRPr="000160C5">
        <w:rPr>
          <w:rFonts w:ascii="Times New Roman" w:hAnsi="Times New Roman" w:cs="Times New Roman"/>
          <w:sz w:val="28"/>
          <w:szCs w:val="28"/>
        </w:rPr>
        <w:t>в декабре 2012 года кабинетом министров было принято решение об интеграции ФСФР в состав Центрального банка Российской Федерации с целью создани</w:t>
      </w:r>
      <w:r w:rsidR="00E7466F" w:rsidRPr="000160C5">
        <w:rPr>
          <w:rFonts w:ascii="Times New Roman" w:hAnsi="Times New Roman" w:cs="Times New Roman"/>
          <w:sz w:val="28"/>
          <w:szCs w:val="28"/>
        </w:rPr>
        <w:t>я</w:t>
      </w:r>
      <w:r w:rsidR="00431626" w:rsidRPr="000160C5">
        <w:rPr>
          <w:rFonts w:ascii="Times New Roman" w:hAnsi="Times New Roman" w:cs="Times New Roman"/>
          <w:sz w:val="28"/>
          <w:szCs w:val="28"/>
        </w:rPr>
        <w:t xml:space="preserve"> сильного финансового мегарегулятора</w:t>
      </w:r>
      <w:r w:rsidR="00431626" w:rsidRPr="000160C5">
        <w:rPr>
          <w:rStyle w:val="a9"/>
          <w:rFonts w:ascii="Times New Roman" w:hAnsi="Times New Roman" w:cs="Times New Roman"/>
          <w:sz w:val="28"/>
          <w:szCs w:val="28"/>
        </w:rPr>
        <w:footnoteReference w:id="21"/>
      </w:r>
      <w:r w:rsidR="00431626" w:rsidRPr="000160C5">
        <w:rPr>
          <w:rFonts w:ascii="Times New Roman" w:hAnsi="Times New Roman" w:cs="Times New Roman"/>
          <w:sz w:val="28"/>
          <w:szCs w:val="28"/>
        </w:rPr>
        <w:t>. В первой половине 2013 года планируется обеспечить данную реформу нормативной базой</w:t>
      </w:r>
      <w:r w:rsidR="00570528">
        <w:rPr>
          <w:rStyle w:val="a9"/>
          <w:rFonts w:ascii="Times New Roman" w:hAnsi="Times New Roman" w:cs="Times New Roman"/>
          <w:sz w:val="28"/>
          <w:szCs w:val="28"/>
        </w:rPr>
        <w:footnoteReference w:id="22"/>
      </w:r>
      <w:r w:rsidR="00431626" w:rsidRPr="000160C5">
        <w:rPr>
          <w:rFonts w:ascii="Times New Roman" w:hAnsi="Times New Roman" w:cs="Times New Roman"/>
          <w:sz w:val="28"/>
          <w:szCs w:val="28"/>
        </w:rPr>
        <w:t xml:space="preserve">. </w:t>
      </w:r>
      <w:r w:rsidR="000B0775" w:rsidRPr="000160C5">
        <w:rPr>
          <w:rFonts w:ascii="Times New Roman" w:hAnsi="Times New Roman" w:cs="Times New Roman"/>
          <w:sz w:val="28"/>
          <w:szCs w:val="28"/>
        </w:rPr>
        <w:t xml:space="preserve">Считается, что присоединение слабой ФСФР к сильному ЦБ РФ поможет разрешить многие существующие проблемы </w:t>
      </w:r>
      <w:r w:rsidR="00670C33">
        <w:rPr>
          <w:rFonts w:ascii="Times New Roman" w:hAnsi="Times New Roman" w:cs="Times New Roman"/>
          <w:sz w:val="28"/>
          <w:szCs w:val="28"/>
        </w:rPr>
        <w:t xml:space="preserve">осуществления </w:t>
      </w:r>
      <w:r w:rsidR="000B0775" w:rsidRPr="000160C5">
        <w:rPr>
          <w:rFonts w:ascii="Times New Roman" w:hAnsi="Times New Roman" w:cs="Times New Roman"/>
          <w:sz w:val="28"/>
          <w:szCs w:val="28"/>
        </w:rPr>
        <w:t xml:space="preserve">контроля </w:t>
      </w:r>
      <w:r w:rsidR="00670C33">
        <w:rPr>
          <w:rFonts w:ascii="Times New Roman" w:hAnsi="Times New Roman" w:cs="Times New Roman"/>
          <w:sz w:val="28"/>
          <w:szCs w:val="28"/>
        </w:rPr>
        <w:t xml:space="preserve">над </w:t>
      </w:r>
      <w:r w:rsidR="000B0775" w:rsidRPr="000160C5">
        <w:rPr>
          <w:rFonts w:ascii="Times New Roman" w:hAnsi="Times New Roman" w:cs="Times New Roman"/>
          <w:sz w:val="28"/>
          <w:szCs w:val="28"/>
        </w:rPr>
        <w:t>финансов</w:t>
      </w:r>
      <w:r w:rsidR="00670C33">
        <w:rPr>
          <w:rFonts w:ascii="Times New Roman" w:hAnsi="Times New Roman" w:cs="Times New Roman"/>
          <w:sz w:val="28"/>
          <w:szCs w:val="28"/>
        </w:rPr>
        <w:t>ым</w:t>
      </w:r>
      <w:r w:rsidR="000B0775" w:rsidRPr="000160C5">
        <w:rPr>
          <w:rFonts w:ascii="Times New Roman" w:hAnsi="Times New Roman" w:cs="Times New Roman"/>
          <w:sz w:val="28"/>
          <w:szCs w:val="28"/>
        </w:rPr>
        <w:t xml:space="preserve"> рынк</w:t>
      </w:r>
      <w:r w:rsidR="00670C33">
        <w:rPr>
          <w:rFonts w:ascii="Times New Roman" w:hAnsi="Times New Roman" w:cs="Times New Roman"/>
          <w:sz w:val="28"/>
          <w:szCs w:val="28"/>
        </w:rPr>
        <w:t>ом</w:t>
      </w:r>
      <w:r w:rsidR="000B0775" w:rsidRPr="000160C5">
        <w:rPr>
          <w:rFonts w:ascii="Times New Roman" w:hAnsi="Times New Roman" w:cs="Times New Roman"/>
          <w:sz w:val="28"/>
          <w:szCs w:val="28"/>
        </w:rPr>
        <w:t xml:space="preserve">. </w:t>
      </w:r>
      <w:r w:rsidR="00E7466F" w:rsidRPr="000160C5">
        <w:rPr>
          <w:rFonts w:ascii="Times New Roman" w:hAnsi="Times New Roman" w:cs="Times New Roman"/>
          <w:sz w:val="28"/>
          <w:szCs w:val="28"/>
        </w:rPr>
        <w:t xml:space="preserve">Важным планируемым нововведением в </w:t>
      </w:r>
      <w:r w:rsidR="000B0775" w:rsidRPr="000160C5">
        <w:rPr>
          <w:rFonts w:ascii="Times New Roman" w:hAnsi="Times New Roman" w:cs="Times New Roman"/>
          <w:sz w:val="28"/>
          <w:szCs w:val="28"/>
        </w:rPr>
        <w:t>рамках данной реформы</w:t>
      </w:r>
      <w:r w:rsidR="00E7466F" w:rsidRPr="000160C5">
        <w:rPr>
          <w:rFonts w:ascii="Times New Roman" w:hAnsi="Times New Roman" w:cs="Times New Roman"/>
          <w:sz w:val="28"/>
          <w:szCs w:val="28"/>
        </w:rPr>
        <w:t xml:space="preserve"> является </w:t>
      </w:r>
      <w:r w:rsidR="000B0775" w:rsidRPr="000160C5">
        <w:rPr>
          <w:rFonts w:ascii="Times New Roman" w:hAnsi="Times New Roman" w:cs="Times New Roman"/>
          <w:sz w:val="28"/>
          <w:szCs w:val="28"/>
        </w:rPr>
        <w:t>переда</w:t>
      </w:r>
      <w:r w:rsidR="00E7466F" w:rsidRPr="000160C5">
        <w:rPr>
          <w:rFonts w:ascii="Times New Roman" w:hAnsi="Times New Roman" w:cs="Times New Roman"/>
          <w:sz w:val="28"/>
          <w:szCs w:val="28"/>
        </w:rPr>
        <w:t>ча</w:t>
      </w:r>
      <w:r w:rsidR="000B0775" w:rsidRPr="000160C5">
        <w:rPr>
          <w:rFonts w:ascii="Times New Roman" w:hAnsi="Times New Roman" w:cs="Times New Roman"/>
          <w:sz w:val="28"/>
          <w:szCs w:val="28"/>
        </w:rPr>
        <w:t xml:space="preserve"> част</w:t>
      </w:r>
      <w:r w:rsidR="00E7466F" w:rsidRPr="000160C5">
        <w:rPr>
          <w:rFonts w:ascii="Times New Roman" w:hAnsi="Times New Roman" w:cs="Times New Roman"/>
          <w:sz w:val="28"/>
          <w:szCs w:val="28"/>
        </w:rPr>
        <w:t>и</w:t>
      </w:r>
      <w:r w:rsidR="000B0775" w:rsidRPr="000160C5">
        <w:rPr>
          <w:rFonts w:ascii="Times New Roman" w:hAnsi="Times New Roman" w:cs="Times New Roman"/>
          <w:sz w:val="28"/>
          <w:szCs w:val="28"/>
        </w:rPr>
        <w:t xml:space="preserve"> функций регулятора саморегулирующим организациям. Введение саморегулирования в сфере финансового рынка на взгляд автора считается очень рискованным шагом, поскольку эффективность саморегулирования в России отнюдь не высока.  </w:t>
      </w:r>
      <w:r w:rsidR="00431626" w:rsidRPr="000160C5">
        <w:rPr>
          <w:rFonts w:ascii="Times New Roman" w:hAnsi="Times New Roman" w:cs="Times New Roman"/>
          <w:sz w:val="28"/>
          <w:szCs w:val="28"/>
        </w:rPr>
        <w:t xml:space="preserve"> </w:t>
      </w:r>
    </w:p>
    <w:p w:rsidR="002072FB" w:rsidRPr="000160C5" w:rsidRDefault="00CD1C95" w:rsidP="005901E8">
      <w:pPr>
        <w:pStyle w:val="2"/>
        <w:keepLines w:val="0"/>
        <w:widowControl w:val="0"/>
        <w:spacing w:before="0" w:line="360" w:lineRule="auto"/>
        <w:ind w:firstLine="709"/>
        <w:contextualSpacing/>
        <w:rPr>
          <w:rFonts w:cs="Times New Roman"/>
          <w:szCs w:val="28"/>
        </w:rPr>
      </w:pPr>
      <w:bookmarkStart w:id="6" w:name="_Toc356162046"/>
      <w:r w:rsidRPr="000160C5">
        <w:rPr>
          <w:rFonts w:cs="Times New Roman"/>
          <w:szCs w:val="28"/>
        </w:rPr>
        <w:t xml:space="preserve">§4. </w:t>
      </w:r>
      <w:r w:rsidR="002072FB" w:rsidRPr="000160C5">
        <w:rPr>
          <w:rFonts w:cs="Times New Roman"/>
          <w:szCs w:val="28"/>
        </w:rPr>
        <w:t>Нормативно-правовая база раскрытия информации</w:t>
      </w:r>
      <w:bookmarkEnd w:id="6"/>
    </w:p>
    <w:p w:rsidR="00F92AB7" w:rsidRPr="000160C5" w:rsidRDefault="00E24259" w:rsidP="005901E8">
      <w:pPr>
        <w:pStyle w:val="TNR14"/>
        <w:keepNext/>
        <w:widowControl w:val="0"/>
        <w:contextualSpacing/>
        <w:rPr>
          <w:rFonts w:cs="Times New Roman"/>
          <w:szCs w:val="28"/>
          <w:lang w:val="ru-RU"/>
        </w:rPr>
      </w:pPr>
      <w:r w:rsidRPr="000160C5">
        <w:rPr>
          <w:rFonts w:cs="Times New Roman"/>
          <w:szCs w:val="28"/>
          <w:lang w:val="ru-RU"/>
        </w:rPr>
        <w:t xml:space="preserve">Как уже </w:t>
      </w:r>
      <w:r>
        <w:rPr>
          <w:rFonts w:cs="Times New Roman"/>
          <w:szCs w:val="28"/>
          <w:lang w:val="ru-RU"/>
        </w:rPr>
        <w:t>было отмечено выше, нормативно-</w:t>
      </w:r>
      <w:r w:rsidRPr="000160C5">
        <w:rPr>
          <w:rFonts w:cs="Times New Roman"/>
          <w:szCs w:val="28"/>
          <w:lang w:val="ru-RU"/>
        </w:rPr>
        <w:t xml:space="preserve">правовое регулирование раскрытия информации эмитентами в России и США имеет существенные различия. </w:t>
      </w:r>
    </w:p>
    <w:p w:rsidR="00BD6C71" w:rsidRPr="000160C5" w:rsidRDefault="00F92AB7" w:rsidP="005901E8">
      <w:pPr>
        <w:pStyle w:val="TNR14"/>
        <w:keepNext/>
        <w:widowControl w:val="0"/>
        <w:contextualSpacing/>
        <w:rPr>
          <w:rFonts w:cs="Times New Roman"/>
          <w:szCs w:val="28"/>
          <w:lang w:val="ru-RU"/>
        </w:rPr>
      </w:pPr>
      <w:r w:rsidRPr="000160C5">
        <w:rPr>
          <w:rFonts w:cs="Times New Roman"/>
          <w:szCs w:val="28"/>
          <w:lang w:val="ru-RU"/>
        </w:rPr>
        <w:t xml:space="preserve">Нормативная база для раскрытия информации эмитентами в России является </w:t>
      </w:r>
      <w:r w:rsidR="00463994" w:rsidRPr="000160C5">
        <w:rPr>
          <w:rFonts w:cs="Times New Roman"/>
          <w:szCs w:val="28"/>
          <w:lang w:val="ru-RU"/>
        </w:rPr>
        <w:t>достаточно</w:t>
      </w:r>
      <w:r w:rsidRPr="000160C5">
        <w:rPr>
          <w:rFonts w:cs="Times New Roman"/>
          <w:szCs w:val="28"/>
          <w:lang w:val="ru-RU"/>
        </w:rPr>
        <w:t xml:space="preserve"> неустойчивой и постоянно претерпевает существенные изменения. Причин этому может быть несколько: во-первых, детальное регулирование обозначенного сектора правоотношений осуществляется на подзаконном уровне, в частности, посредством нормативных правовых актов органа исполнительной власти, </w:t>
      </w:r>
      <w:r w:rsidR="00463994" w:rsidRPr="000160C5">
        <w:rPr>
          <w:rFonts w:cs="Times New Roman"/>
          <w:szCs w:val="28"/>
          <w:lang w:val="ru-RU"/>
        </w:rPr>
        <w:t xml:space="preserve">в </w:t>
      </w:r>
      <w:r w:rsidRPr="000160C5">
        <w:rPr>
          <w:rFonts w:cs="Times New Roman"/>
          <w:szCs w:val="28"/>
          <w:lang w:val="ru-RU"/>
        </w:rPr>
        <w:t>компетен</w:t>
      </w:r>
      <w:r w:rsidR="00463994" w:rsidRPr="000160C5">
        <w:rPr>
          <w:rFonts w:cs="Times New Roman"/>
          <w:szCs w:val="28"/>
          <w:lang w:val="ru-RU"/>
        </w:rPr>
        <w:t>цию которого входит</w:t>
      </w:r>
      <w:r w:rsidRPr="000160C5">
        <w:rPr>
          <w:rFonts w:cs="Times New Roman"/>
          <w:szCs w:val="28"/>
          <w:lang w:val="ru-RU"/>
        </w:rPr>
        <w:t xml:space="preserve"> регулировани</w:t>
      </w:r>
      <w:r w:rsidR="00463994" w:rsidRPr="000160C5">
        <w:rPr>
          <w:rFonts w:cs="Times New Roman"/>
          <w:szCs w:val="28"/>
          <w:lang w:val="ru-RU"/>
        </w:rPr>
        <w:t>е</w:t>
      </w:r>
      <w:r w:rsidRPr="000160C5">
        <w:rPr>
          <w:rFonts w:cs="Times New Roman"/>
          <w:szCs w:val="28"/>
          <w:lang w:val="ru-RU"/>
        </w:rPr>
        <w:t xml:space="preserve"> рынка ценных бумаг. </w:t>
      </w:r>
      <w:r w:rsidR="00463994" w:rsidRPr="000160C5">
        <w:rPr>
          <w:rFonts w:cs="Times New Roman"/>
          <w:szCs w:val="28"/>
          <w:lang w:val="ru-RU"/>
        </w:rPr>
        <w:t>Как уже б</w:t>
      </w:r>
      <w:r w:rsidRPr="000160C5">
        <w:rPr>
          <w:rFonts w:cs="Times New Roman"/>
          <w:szCs w:val="28"/>
          <w:lang w:val="ru-RU"/>
        </w:rPr>
        <w:t>ыло отмечено</w:t>
      </w:r>
      <w:r w:rsidR="00463994" w:rsidRPr="000160C5">
        <w:rPr>
          <w:rFonts w:cs="Times New Roman"/>
          <w:szCs w:val="28"/>
          <w:lang w:val="ru-RU"/>
        </w:rPr>
        <w:t xml:space="preserve"> выше</w:t>
      </w:r>
      <w:r w:rsidRPr="000160C5">
        <w:rPr>
          <w:rFonts w:cs="Times New Roman"/>
          <w:szCs w:val="28"/>
          <w:lang w:val="ru-RU"/>
        </w:rPr>
        <w:t xml:space="preserve">, в России </w:t>
      </w:r>
      <w:r w:rsidRPr="000160C5">
        <w:rPr>
          <w:rFonts w:cs="Times New Roman"/>
          <w:szCs w:val="28"/>
          <w:lang w:val="ru-RU"/>
        </w:rPr>
        <w:lastRenderedPageBreak/>
        <w:t>данная административная структура</w:t>
      </w:r>
      <w:r w:rsidR="00463994" w:rsidRPr="000160C5">
        <w:rPr>
          <w:rFonts w:cs="Times New Roman"/>
          <w:szCs w:val="28"/>
          <w:lang w:val="ru-RU"/>
        </w:rPr>
        <w:t xml:space="preserve"> периодически претерпевает реорганизацию, в настоящий момент таким органом власти является ФСФР. </w:t>
      </w:r>
    </w:p>
    <w:p w:rsidR="00F92AB7" w:rsidRPr="000160C5" w:rsidRDefault="00463994" w:rsidP="005901E8">
      <w:pPr>
        <w:pStyle w:val="TNR14"/>
        <w:keepNext/>
        <w:widowControl w:val="0"/>
        <w:contextualSpacing/>
        <w:rPr>
          <w:rFonts w:cs="Times New Roman"/>
          <w:szCs w:val="28"/>
          <w:lang w:val="ru-RU"/>
        </w:rPr>
      </w:pPr>
      <w:r w:rsidRPr="000160C5">
        <w:rPr>
          <w:rFonts w:cs="Times New Roman"/>
          <w:szCs w:val="28"/>
          <w:lang w:val="ru-RU"/>
        </w:rPr>
        <w:t xml:space="preserve">Второй причиной </w:t>
      </w:r>
      <w:r w:rsidR="00FF6CB2" w:rsidRPr="000160C5">
        <w:rPr>
          <w:rFonts w:cs="Times New Roman"/>
          <w:szCs w:val="28"/>
          <w:lang w:val="ru-RU"/>
        </w:rPr>
        <w:t xml:space="preserve">нестабильности нормативной базы </w:t>
      </w:r>
      <w:r w:rsidRPr="000160C5">
        <w:rPr>
          <w:rFonts w:cs="Times New Roman"/>
          <w:szCs w:val="28"/>
          <w:lang w:val="ru-RU"/>
        </w:rPr>
        <w:t>могут послужить происходящие объективные изменения: внутр</w:t>
      </w:r>
      <w:r w:rsidR="00BD6C71" w:rsidRPr="000160C5">
        <w:rPr>
          <w:rFonts w:cs="Times New Roman"/>
          <w:szCs w:val="28"/>
          <w:lang w:val="ru-RU"/>
        </w:rPr>
        <w:t>игосударственные</w:t>
      </w:r>
      <w:r w:rsidRPr="000160C5">
        <w:rPr>
          <w:rFonts w:cs="Times New Roman"/>
          <w:szCs w:val="28"/>
          <w:lang w:val="ru-RU"/>
        </w:rPr>
        <w:t xml:space="preserve"> экономические изменения, международная кооперация, технические усовершенствования и пр. </w:t>
      </w:r>
    </w:p>
    <w:p w:rsidR="00F751AC" w:rsidRPr="000160C5" w:rsidRDefault="00DC0A15" w:rsidP="005901E8">
      <w:pPr>
        <w:pStyle w:val="TNR14"/>
        <w:keepNext/>
        <w:widowControl w:val="0"/>
        <w:contextualSpacing/>
        <w:rPr>
          <w:rFonts w:cs="Times New Roman"/>
          <w:szCs w:val="28"/>
          <w:lang w:val="ru-RU"/>
        </w:rPr>
      </w:pPr>
      <w:r w:rsidRPr="000160C5">
        <w:rPr>
          <w:rFonts w:cs="Times New Roman"/>
          <w:szCs w:val="28"/>
          <w:lang w:val="ru-RU"/>
        </w:rPr>
        <w:t xml:space="preserve">На данный момент </w:t>
      </w:r>
      <w:r w:rsidR="00D056EB" w:rsidRPr="000160C5">
        <w:rPr>
          <w:rFonts w:cs="Times New Roman"/>
          <w:szCs w:val="28"/>
          <w:lang w:val="ru-RU"/>
        </w:rPr>
        <w:t xml:space="preserve">регулирование раскрытия информации эмитентами в России осуществляется на законодательном и подзаконном уровнях. </w:t>
      </w:r>
      <w:r w:rsidR="00E37EE9" w:rsidRPr="000160C5">
        <w:rPr>
          <w:rFonts w:cs="Times New Roman"/>
          <w:szCs w:val="28"/>
          <w:lang w:val="ru-RU"/>
        </w:rPr>
        <w:t xml:space="preserve"> О</w:t>
      </w:r>
      <w:r w:rsidRPr="000160C5">
        <w:rPr>
          <w:rFonts w:cs="Times New Roman"/>
          <w:szCs w:val="28"/>
          <w:lang w:val="ru-RU"/>
        </w:rPr>
        <w:t xml:space="preserve">снову </w:t>
      </w:r>
      <w:r w:rsidR="00E37EE9" w:rsidRPr="000160C5">
        <w:rPr>
          <w:rFonts w:cs="Times New Roman"/>
          <w:szCs w:val="28"/>
          <w:lang w:val="ru-RU"/>
        </w:rPr>
        <w:t>законодательного</w:t>
      </w:r>
      <w:r w:rsidRPr="000160C5">
        <w:rPr>
          <w:rFonts w:cs="Times New Roman"/>
          <w:szCs w:val="28"/>
          <w:lang w:val="ru-RU"/>
        </w:rPr>
        <w:t xml:space="preserve"> регулирования составляют</w:t>
      </w:r>
      <w:r w:rsidR="00684801" w:rsidRPr="000160C5">
        <w:rPr>
          <w:rFonts w:cs="Times New Roman"/>
          <w:szCs w:val="28"/>
          <w:lang w:val="ru-RU"/>
        </w:rPr>
        <w:t xml:space="preserve"> </w:t>
      </w:r>
      <w:r w:rsidR="008E0104" w:rsidRPr="000160C5">
        <w:rPr>
          <w:rFonts w:cs="Times New Roman"/>
          <w:szCs w:val="28"/>
          <w:lang w:val="ru-RU"/>
        </w:rPr>
        <w:t>базовые законы</w:t>
      </w:r>
      <w:r w:rsidR="00E37EE9" w:rsidRPr="000160C5">
        <w:rPr>
          <w:rFonts w:cs="Times New Roman"/>
          <w:szCs w:val="28"/>
          <w:lang w:val="ru-RU"/>
        </w:rPr>
        <w:t xml:space="preserve">, определяющие </w:t>
      </w:r>
      <w:r w:rsidR="00FF6CB2" w:rsidRPr="000160C5">
        <w:rPr>
          <w:rFonts w:cs="Times New Roman"/>
          <w:szCs w:val="28"/>
          <w:lang w:val="ru-RU"/>
        </w:rPr>
        <w:t xml:space="preserve">общие </w:t>
      </w:r>
      <w:r w:rsidR="00E37EE9" w:rsidRPr="000160C5">
        <w:rPr>
          <w:rFonts w:cs="Times New Roman"/>
          <w:szCs w:val="28"/>
          <w:lang w:val="ru-RU"/>
        </w:rPr>
        <w:t>требования к порядку раскрытия информации</w:t>
      </w:r>
      <w:r w:rsidR="008E0104" w:rsidRPr="000160C5">
        <w:rPr>
          <w:rFonts w:cs="Times New Roman"/>
          <w:szCs w:val="28"/>
          <w:lang w:val="ru-RU"/>
        </w:rPr>
        <w:t xml:space="preserve">: Закон </w:t>
      </w:r>
      <w:r w:rsidR="00C624C7" w:rsidRPr="000160C5">
        <w:rPr>
          <w:rFonts w:cs="Times New Roman"/>
          <w:szCs w:val="28"/>
          <w:lang w:val="ru-RU"/>
        </w:rPr>
        <w:t xml:space="preserve">о РЦБ, </w:t>
      </w:r>
      <w:r w:rsidR="008E0104" w:rsidRPr="000160C5">
        <w:rPr>
          <w:rFonts w:cs="Times New Roman"/>
          <w:szCs w:val="28"/>
          <w:lang w:val="ru-RU"/>
        </w:rPr>
        <w:t>корпоративные законы – Закон об АО и Федеральный закон «Об обществах с ограниченной ответственностью»</w:t>
      </w:r>
      <w:r w:rsidR="00375BDC" w:rsidRPr="000160C5">
        <w:rPr>
          <w:rStyle w:val="a9"/>
          <w:rFonts w:cs="Times New Roman"/>
          <w:szCs w:val="28"/>
          <w:lang w:val="ru-RU"/>
        </w:rPr>
        <w:footnoteReference w:id="23"/>
      </w:r>
      <w:r w:rsidR="008E0104" w:rsidRPr="000160C5">
        <w:rPr>
          <w:rFonts w:cs="Times New Roman"/>
          <w:szCs w:val="28"/>
          <w:lang w:val="ru-RU"/>
        </w:rPr>
        <w:t xml:space="preserve"> (далее – Закон об ООО)</w:t>
      </w:r>
      <w:r w:rsidR="000F6D2B" w:rsidRPr="000160C5">
        <w:rPr>
          <w:rFonts w:cs="Times New Roman"/>
          <w:szCs w:val="28"/>
          <w:lang w:val="ru-RU"/>
        </w:rPr>
        <w:t xml:space="preserve">, </w:t>
      </w:r>
      <w:r w:rsidR="00C624C7" w:rsidRPr="000160C5">
        <w:rPr>
          <w:rFonts w:cs="Times New Roman"/>
          <w:szCs w:val="28"/>
          <w:lang w:val="ru-RU"/>
        </w:rPr>
        <w:t>Федеральный закон «О защите прав и законных интересов инвесторов на рынке ценных бумаг»</w:t>
      </w:r>
      <w:r w:rsidR="00C624C7" w:rsidRPr="000160C5">
        <w:rPr>
          <w:rStyle w:val="a9"/>
          <w:rFonts w:cs="Times New Roman"/>
          <w:szCs w:val="28"/>
          <w:lang w:val="ru-RU"/>
        </w:rPr>
        <w:footnoteReference w:id="24"/>
      </w:r>
      <w:r w:rsidR="003023F3" w:rsidRPr="000160C5">
        <w:rPr>
          <w:rFonts w:cs="Times New Roman"/>
          <w:szCs w:val="28"/>
          <w:lang w:val="ru-RU"/>
        </w:rPr>
        <w:t>,</w:t>
      </w:r>
      <w:r w:rsidR="00DF68EE" w:rsidRPr="000160C5">
        <w:rPr>
          <w:rFonts w:cs="Times New Roman"/>
          <w:szCs w:val="28"/>
          <w:lang w:val="ru-RU"/>
        </w:rPr>
        <w:t xml:space="preserve"> </w:t>
      </w:r>
      <w:r w:rsidR="000F6D2B" w:rsidRPr="000160C5">
        <w:rPr>
          <w:rFonts w:cs="Times New Roman"/>
          <w:szCs w:val="28"/>
          <w:lang w:val="ru-RU"/>
        </w:rPr>
        <w:t>а также акты, устанавливающие ответственность за нарушение требований по раскрытию информацию</w:t>
      </w:r>
      <w:r w:rsidR="00684801" w:rsidRPr="000160C5">
        <w:rPr>
          <w:rFonts w:cs="Times New Roman"/>
          <w:szCs w:val="28"/>
          <w:lang w:val="ru-RU"/>
        </w:rPr>
        <w:t>,</w:t>
      </w:r>
      <w:r w:rsidR="00817546" w:rsidRPr="000160C5">
        <w:rPr>
          <w:rFonts w:cs="Times New Roman"/>
          <w:szCs w:val="28"/>
          <w:lang w:val="ru-RU"/>
        </w:rPr>
        <w:t xml:space="preserve"> </w:t>
      </w:r>
      <w:r w:rsidR="00DF68EE" w:rsidRPr="000160C5">
        <w:rPr>
          <w:rFonts w:cs="Times New Roman"/>
          <w:szCs w:val="28"/>
          <w:lang w:val="ru-RU"/>
        </w:rPr>
        <w:t>–</w:t>
      </w:r>
      <w:r w:rsidR="00817546" w:rsidRPr="000160C5">
        <w:rPr>
          <w:rFonts w:cs="Times New Roman"/>
          <w:szCs w:val="28"/>
          <w:lang w:val="ru-RU"/>
        </w:rPr>
        <w:t xml:space="preserve"> Кодекс об административных правонарушениях</w:t>
      </w:r>
      <w:r w:rsidR="00817546" w:rsidRPr="000160C5">
        <w:rPr>
          <w:rStyle w:val="a9"/>
          <w:rFonts w:cs="Times New Roman"/>
          <w:szCs w:val="28"/>
          <w:lang w:val="ru-RU"/>
        </w:rPr>
        <w:footnoteReference w:id="25"/>
      </w:r>
      <w:r w:rsidR="00817546" w:rsidRPr="000160C5">
        <w:rPr>
          <w:rFonts w:cs="Times New Roman"/>
          <w:szCs w:val="28"/>
          <w:lang w:val="ru-RU"/>
        </w:rPr>
        <w:t xml:space="preserve"> (далее - КоАП) и Уголовный кодекс</w:t>
      </w:r>
      <w:r w:rsidR="00817546" w:rsidRPr="000160C5">
        <w:rPr>
          <w:rStyle w:val="a9"/>
          <w:rFonts w:cs="Times New Roman"/>
          <w:szCs w:val="28"/>
          <w:lang w:val="ru-RU"/>
        </w:rPr>
        <w:footnoteReference w:id="26"/>
      </w:r>
      <w:r w:rsidR="00817546" w:rsidRPr="000160C5">
        <w:rPr>
          <w:rFonts w:cs="Times New Roman"/>
          <w:szCs w:val="28"/>
          <w:lang w:val="ru-RU"/>
        </w:rPr>
        <w:t>.</w:t>
      </w:r>
    </w:p>
    <w:p w:rsidR="00463994" w:rsidRPr="000160C5" w:rsidRDefault="00684801" w:rsidP="005901E8">
      <w:pPr>
        <w:pStyle w:val="TNR14"/>
        <w:keepNext/>
        <w:widowControl w:val="0"/>
        <w:contextualSpacing/>
        <w:rPr>
          <w:rFonts w:cs="Times New Roman"/>
          <w:szCs w:val="28"/>
          <w:lang w:val="ru-RU"/>
        </w:rPr>
      </w:pPr>
      <w:r w:rsidRPr="000160C5">
        <w:rPr>
          <w:rFonts w:cs="Times New Roman"/>
          <w:szCs w:val="28"/>
          <w:lang w:val="ru-RU"/>
        </w:rPr>
        <w:t>П</w:t>
      </w:r>
      <w:r w:rsidR="00DF68EE" w:rsidRPr="000160C5">
        <w:rPr>
          <w:rFonts w:cs="Times New Roman"/>
          <w:szCs w:val="28"/>
          <w:lang w:val="ru-RU"/>
        </w:rPr>
        <w:t xml:space="preserve">одзаконные акты, </w:t>
      </w:r>
      <w:r w:rsidR="00F751AC" w:rsidRPr="000160C5">
        <w:rPr>
          <w:rFonts w:cs="Times New Roman"/>
          <w:szCs w:val="28"/>
          <w:lang w:val="ru-RU"/>
        </w:rPr>
        <w:t xml:space="preserve">детально </w:t>
      </w:r>
      <w:r w:rsidRPr="000160C5">
        <w:rPr>
          <w:rFonts w:cs="Times New Roman"/>
          <w:szCs w:val="28"/>
          <w:lang w:val="ru-RU"/>
        </w:rPr>
        <w:t xml:space="preserve">регулирующие порядок раскрытия информации, </w:t>
      </w:r>
      <w:r w:rsidR="00DF68EE" w:rsidRPr="000160C5">
        <w:rPr>
          <w:rFonts w:cs="Times New Roman"/>
          <w:szCs w:val="28"/>
          <w:lang w:val="ru-RU"/>
        </w:rPr>
        <w:t>принима</w:t>
      </w:r>
      <w:r w:rsidRPr="000160C5">
        <w:rPr>
          <w:rFonts w:cs="Times New Roman"/>
          <w:szCs w:val="28"/>
          <w:lang w:val="ru-RU"/>
        </w:rPr>
        <w:t xml:space="preserve">ются </w:t>
      </w:r>
      <w:r w:rsidR="003023F3" w:rsidRPr="000160C5">
        <w:rPr>
          <w:rFonts w:cs="Times New Roman"/>
          <w:szCs w:val="28"/>
          <w:lang w:val="ru-RU"/>
        </w:rPr>
        <w:t>на уровне ФСФР</w:t>
      </w:r>
      <w:r w:rsidRPr="000160C5">
        <w:rPr>
          <w:rFonts w:cs="Times New Roman"/>
          <w:szCs w:val="28"/>
          <w:lang w:val="ru-RU"/>
        </w:rPr>
        <w:t xml:space="preserve"> (в том числе ранее принятые акты ФКЦБ, сохранившие свое действие)</w:t>
      </w:r>
      <w:r w:rsidR="000F5643" w:rsidRPr="000160C5">
        <w:rPr>
          <w:rFonts w:cs="Times New Roman"/>
          <w:szCs w:val="28"/>
          <w:lang w:val="ru-RU"/>
        </w:rPr>
        <w:t xml:space="preserve">. </w:t>
      </w:r>
      <w:r w:rsidRPr="000160C5">
        <w:rPr>
          <w:rFonts w:cs="Times New Roman"/>
          <w:szCs w:val="28"/>
          <w:lang w:val="ru-RU"/>
        </w:rPr>
        <w:t>Среди прочих</w:t>
      </w:r>
      <w:r w:rsidR="003023F3" w:rsidRPr="000160C5">
        <w:rPr>
          <w:rFonts w:cs="Times New Roman"/>
          <w:szCs w:val="28"/>
          <w:lang w:val="ru-RU"/>
        </w:rPr>
        <w:t xml:space="preserve"> </w:t>
      </w:r>
      <w:r w:rsidR="000F5643" w:rsidRPr="000160C5">
        <w:rPr>
          <w:rFonts w:cs="Times New Roman"/>
          <w:szCs w:val="28"/>
          <w:lang w:val="ru-RU"/>
        </w:rPr>
        <w:t xml:space="preserve">заслуживает особого внимания </w:t>
      </w:r>
      <w:r w:rsidR="003023F3" w:rsidRPr="000160C5">
        <w:rPr>
          <w:rFonts w:cs="Times New Roman"/>
          <w:szCs w:val="28"/>
          <w:lang w:val="ru-RU"/>
        </w:rPr>
        <w:t>упомянутое выше Положение</w:t>
      </w:r>
      <w:r w:rsidR="00DF68EE" w:rsidRPr="000160C5">
        <w:rPr>
          <w:rFonts w:cs="Times New Roman"/>
          <w:szCs w:val="28"/>
          <w:lang w:val="ru-RU"/>
        </w:rPr>
        <w:t xml:space="preserve"> </w:t>
      </w:r>
      <w:r w:rsidR="003023F3" w:rsidRPr="000160C5">
        <w:rPr>
          <w:rFonts w:cs="Times New Roman"/>
          <w:szCs w:val="28"/>
          <w:lang w:val="ru-RU"/>
        </w:rPr>
        <w:t>о раскрытии информации</w:t>
      </w:r>
      <w:r w:rsidR="006D102B" w:rsidRPr="000160C5">
        <w:rPr>
          <w:rFonts w:cs="Times New Roman"/>
          <w:szCs w:val="28"/>
          <w:lang w:val="ru-RU"/>
        </w:rPr>
        <w:t>, так как оно детально регулирует порядок раскрытия информации эмитентами и устанавливает рекомендуемые формы для предоставления раскрываемой информации</w:t>
      </w:r>
      <w:r w:rsidR="000F5643" w:rsidRPr="000160C5">
        <w:rPr>
          <w:rFonts w:cs="Times New Roman"/>
          <w:szCs w:val="28"/>
          <w:lang w:val="ru-RU"/>
        </w:rPr>
        <w:t>.</w:t>
      </w:r>
    </w:p>
    <w:p w:rsidR="008A1381" w:rsidRPr="000160C5" w:rsidRDefault="00CD169A" w:rsidP="005901E8">
      <w:pPr>
        <w:pStyle w:val="TNR14"/>
        <w:keepNext/>
        <w:widowControl w:val="0"/>
        <w:contextualSpacing/>
        <w:rPr>
          <w:rFonts w:cs="Times New Roman"/>
          <w:szCs w:val="28"/>
          <w:lang w:val="ru-RU"/>
        </w:rPr>
      </w:pPr>
      <w:r w:rsidRPr="000160C5">
        <w:rPr>
          <w:rFonts w:cs="Times New Roman"/>
          <w:szCs w:val="28"/>
          <w:lang w:val="ru-RU"/>
        </w:rPr>
        <w:t>Главное</w:t>
      </w:r>
      <w:r w:rsidR="00426C30" w:rsidRPr="000160C5">
        <w:rPr>
          <w:rFonts w:cs="Times New Roman"/>
          <w:szCs w:val="28"/>
          <w:lang w:val="ru-RU"/>
        </w:rPr>
        <w:t xml:space="preserve"> отличие нормативного регулирования раскрытия информации в США заключается в том, что основное регулирование осуществляется на законодательном уровне, и лишь некоторые вопросы регулируются положениями Комиссии США. </w:t>
      </w:r>
    </w:p>
    <w:p w:rsidR="00CD169A" w:rsidRPr="000160C5" w:rsidRDefault="00426C30" w:rsidP="005901E8">
      <w:pPr>
        <w:pStyle w:val="TNR14"/>
        <w:keepNext/>
        <w:widowControl w:val="0"/>
        <w:contextualSpacing/>
        <w:rPr>
          <w:rFonts w:cs="Times New Roman"/>
          <w:szCs w:val="28"/>
          <w:lang w:val="ru-RU"/>
        </w:rPr>
      </w:pPr>
      <w:r w:rsidRPr="000160C5">
        <w:rPr>
          <w:rFonts w:cs="Times New Roman"/>
          <w:szCs w:val="28"/>
          <w:lang w:val="ru-RU"/>
        </w:rPr>
        <w:lastRenderedPageBreak/>
        <w:t xml:space="preserve">Как уже было отмечено ранее, законодательство США о рынке ценных бумаг отличается стабильностью и ведет отсчет своего существования с 1933 года, ознаменовавшегося принятием </w:t>
      </w:r>
      <w:r w:rsidR="00B667E5" w:rsidRPr="000160C5">
        <w:rPr>
          <w:rFonts w:cs="Times New Roman"/>
          <w:szCs w:val="28"/>
          <w:lang w:val="ru-RU"/>
        </w:rPr>
        <w:t>Закона о ценных бумагах</w:t>
      </w:r>
      <w:r w:rsidR="008A1381" w:rsidRPr="000160C5">
        <w:rPr>
          <w:rStyle w:val="a9"/>
          <w:rFonts w:cs="Times New Roman"/>
          <w:szCs w:val="28"/>
          <w:lang w:val="ru-RU"/>
        </w:rPr>
        <w:footnoteReference w:id="27"/>
      </w:r>
      <w:r w:rsidR="00B667E5" w:rsidRPr="000160C5">
        <w:rPr>
          <w:rFonts w:cs="Times New Roman"/>
          <w:szCs w:val="28"/>
          <w:lang w:val="ru-RU"/>
        </w:rPr>
        <w:t xml:space="preserve">, устанавливающего обязанность эмитентов, публично предлагающих свои ценные бумаги, раскрывать информацию в порядке регистрации </w:t>
      </w:r>
      <w:r w:rsidR="00CD169A" w:rsidRPr="000160C5">
        <w:rPr>
          <w:rFonts w:cs="Times New Roman"/>
          <w:szCs w:val="28"/>
          <w:lang w:val="ru-RU"/>
        </w:rPr>
        <w:t xml:space="preserve">выпускаемых </w:t>
      </w:r>
      <w:r w:rsidR="00B667E5" w:rsidRPr="000160C5">
        <w:rPr>
          <w:rFonts w:cs="Times New Roman"/>
          <w:szCs w:val="28"/>
          <w:lang w:val="ru-RU"/>
        </w:rPr>
        <w:t xml:space="preserve">ценных бумаг в Комиссии США. </w:t>
      </w:r>
    </w:p>
    <w:p w:rsidR="00D75D97" w:rsidRPr="000160C5" w:rsidRDefault="00B667E5" w:rsidP="005901E8">
      <w:pPr>
        <w:pStyle w:val="TNR14"/>
        <w:keepNext/>
        <w:widowControl w:val="0"/>
        <w:contextualSpacing/>
        <w:rPr>
          <w:rFonts w:cs="Times New Roman"/>
          <w:szCs w:val="28"/>
          <w:lang w:val="ru-RU"/>
        </w:rPr>
      </w:pPr>
      <w:r w:rsidRPr="000160C5">
        <w:rPr>
          <w:rFonts w:cs="Times New Roman"/>
          <w:szCs w:val="28"/>
          <w:lang w:val="ru-RU"/>
        </w:rPr>
        <w:t>В 1934 был принят Закон о торговле ценными бумагами</w:t>
      </w:r>
      <w:r w:rsidR="00A062AF" w:rsidRPr="000160C5">
        <w:rPr>
          <w:rStyle w:val="a9"/>
          <w:rFonts w:cs="Times New Roman"/>
          <w:szCs w:val="28"/>
          <w:lang w:val="ru-RU"/>
        </w:rPr>
        <w:footnoteReference w:id="28"/>
      </w:r>
      <w:r w:rsidRPr="000160C5">
        <w:rPr>
          <w:rFonts w:cs="Times New Roman"/>
          <w:szCs w:val="28"/>
          <w:lang w:val="ru-RU"/>
        </w:rPr>
        <w:t xml:space="preserve">, требующий </w:t>
      </w:r>
      <w:r w:rsidR="00280514" w:rsidRPr="000160C5">
        <w:rPr>
          <w:rFonts w:cs="Times New Roman"/>
          <w:szCs w:val="28"/>
          <w:lang w:val="ru-RU"/>
        </w:rPr>
        <w:t>периодического раскрытия информации эмитентами</w:t>
      </w:r>
      <w:r w:rsidR="00821122" w:rsidRPr="000160C5">
        <w:rPr>
          <w:rFonts w:cs="Times New Roman"/>
          <w:szCs w:val="28"/>
          <w:lang w:val="ru-RU"/>
        </w:rPr>
        <w:t>,</w:t>
      </w:r>
      <w:r w:rsidR="00CD169A" w:rsidRPr="000160C5">
        <w:rPr>
          <w:rFonts w:cs="Times New Roman"/>
          <w:szCs w:val="28"/>
          <w:lang w:val="ru-RU"/>
        </w:rPr>
        <w:t xml:space="preserve"> лицом, собирающимся приобрести более 5 процентов ценных бумаг компании-эмитента, а также </w:t>
      </w:r>
      <w:r w:rsidR="00FF6CB2" w:rsidRPr="000160C5">
        <w:rPr>
          <w:rFonts w:cs="Times New Roman"/>
          <w:szCs w:val="28"/>
          <w:lang w:val="ru-RU"/>
        </w:rPr>
        <w:t xml:space="preserve">раскрытия </w:t>
      </w:r>
      <w:r w:rsidR="00CD169A" w:rsidRPr="000160C5">
        <w:rPr>
          <w:rFonts w:cs="Times New Roman"/>
          <w:szCs w:val="28"/>
          <w:lang w:val="ru-RU"/>
        </w:rPr>
        <w:t xml:space="preserve">материалов, предоставляемых акционерам </w:t>
      </w:r>
      <w:r w:rsidR="001E6AEE" w:rsidRPr="000160C5">
        <w:rPr>
          <w:rFonts w:cs="Times New Roman"/>
          <w:szCs w:val="28"/>
          <w:lang w:val="ru-RU"/>
        </w:rPr>
        <w:t>при подготовке</w:t>
      </w:r>
      <w:r w:rsidR="00CD169A" w:rsidRPr="000160C5">
        <w:rPr>
          <w:rFonts w:cs="Times New Roman"/>
          <w:szCs w:val="28"/>
          <w:lang w:val="ru-RU"/>
        </w:rPr>
        <w:t xml:space="preserve"> к проведению годового собрания.</w:t>
      </w:r>
    </w:p>
    <w:p w:rsidR="00295C59" w:rsidRPr="000160C5" w:rsidRDefault="001E6AEE" w:rsidP="005901E8">
      <w:pPr>
        <w:pStyle w:val="TNR14"/>
        <w:keepNext/>
        <w:widowControl w:val="0"/>
        <w:contextualSpacing/>
        <w:rPr>
          <w:rFonts w:cs="Times New Roman"/>
          <w:szCs w:val="28"/>
          <w:lang w:val="ru-RU"/>
        </w:rPr>
      </w:pPr>
      <w:r w:rsidRPr="000160C5">
        <w:rPr>
          <w:rFonts w:cs="Times New Roman"/>
          <w:szCs w:val="28"/>
          <w:lang w:val="ru-RU"/>
        </w:rPr>
        <w:t>Кроме указанных актов</w:t>
      </w:r>
      <w:r w:rsidR="00867946" w:rsidRPr="000160C5">
        <w:rPr>
          <w:rFonts w:cs="Times New Roman"/>
          <w:szCs w:val="28"/>
          <w:lang w:val="ru-RU"/>
        </w:rPr>
        <w:t xml:space="preserve">, </w:t>
      </w:r>
      <w:r w:rsidR="00CC02BF" w:rsidRPr="000160C5">
        <w:rPr>
          <w:rFonts w:cs="Times New Roman"/>
          <w:szCs w:val="28"/>
          <w:lang w:val="ru-RU"/>
        </w:rPr>
        <w:t>раскрытие информации в США также регулируют Закон о трастовом соглашении (</w:t>
      </w:r>
      <w:r w:rsidR="00CC02BF" w:rsidRPr="000160C5">
        <w:rPr>
          <w:rFonts w:cs="Times New Roman"/>
          <w:szCs w:val="28"/>
        </w:rPr>
        <w:t>the</w:t>
      </w:r>
      <w:r w:rsidR="00CC02BF" w:rsidRPr="000160C5">
        <w:rPr>
          <w:rFonts w:cs="Times New Roman"/>
          <w:szCs w:val="28"/>
          <w:lang w:val="ru-RU"/>
        </w:rPr>
        <w:t xml:space="preserve"> </w:t>
      </w:r>
      <w:r w:rsidR="00CC02BF" w:rsidRPr="000160C5">
        <w:rPr>
          <w:rFonts w:cs="Times New Roman"/>
          <w:szCs w:val="28"/>
        </w:rPr>
        <w:t>Trust</w:t>
      </w:r>
      <w:r w:rsidR="00CC02BF" w:rsidRPr="000160C5">
        <w:rPr>
          <w:rFonts w:cs="Times New Roman"/>
          <w:szCs w:val="28"/>
          <w:lang w:val="ru-RU"/>
        </w:rPr>
        <w:t xml:space="preserve"> </w:t>
      </w:r>
      <w:r w:rsidR="00CC02BF" w:rsidRPr="000160C5">
        <w:rPr>
          <w:rFonts w:cs="Times New Roman"/>
          <w:szCs w:val="28"/>
        </w:rPr>
        <w:t>Indenture</w:t>
      </w:r>
      <w:r w:rsidR="00CC02BF" w:rsidRPr="000160C5">
        <w:rPr>
          <w:rFonts w:cs="Times New Roman"/>
          <w:szCs w:val="28"/>
          <w:lang w:val="ru-RU"/>
        </w:rPr>
        <w:t xml:space="preserve"> </w:t>
      </w:r>
      <w:r w:rsidR="00CC02BF" w:rsidRPr="000160C5">
        <w:rPr>
          <w:rFonts w:cs="Times New Roman"/>
          <w:szCs w:val="28"/>
        </w:rPr>
        <w:t>Act</w:t>
      </w:r>
      <w:r w:rsidR="00CC02BF" w:rsidRPr="000160C5">
        <w:rPr>
          <w:rFonts w:cs="Times New Roman"/>
          <w:szCs w:val="28"/>
          <w:lang w:val="ru-RU"/>
        </w:rPr>
        <w:t xml:space="preserve">) 1939 года, </w:t>
      </w:r>
      <w:r w:rsidR="00B86A59" w:rsidRPr="000160C5">
        <w:rPr>
          <w:rFonts w:cs="Times New Roman"/>
          <w:szCs w:val="28"/>
          <w:lang w:val="ru-RU"/>
        </w:rPr>
        <w:t>устанавливающий требования к раскрытию информации эмитентом</w:t>
      </w:r>
      <w:r w:rsidR="00CC02BF" w:rsidRPr="000160C5">
        <w:rPr>
          <w:rFonts w:cs="Times New Roman"/>
          <w:szCs w:val="28"/>
          <w:lang w:val="ru-RU"/>
        </w:rPr>
        <w:t xml:space="preserve"> долговы</w:t>
      </w:r>
      <w:r w:rsidR="00B86A59" w:rsidRPr="000160C5">
        <w:rPr>
          <w:rFonts w:cs="Times New Roman"/>
          <w:szCs w:val="28"/>
          <w:lang w:val="ru-RU"/>
        </w:rPr>
        <w:t>х ценных</w:t>
      </w:r>
      <w:r w:rsidR="00CC02BF" w:rsidRPr="000160C5">
        <w:rPr>
          <w:rFonts w:cs="Times New Roman"/>
          <w:szCs w:val="28"/>
          <w:lang w:val="ru-RU"/>
        </w:rPr>
        <w:t xml:space="preserve"> бумаг, Закон об инвестиционных компаниях (</w:t>
      </w:r>
      <w:r w:rsidR="00CC02BF" w:rsidRPr="000160C5">
        <w:rPr>
          <w:rFonts w:cs="Times New Roman"/>
          <w:szCs w:val="28"/>
        </w:rPr>
        <w:t>the</w:t>
      </w:r>
      <w:r w:rsidR="00CC02BF" w:rsidRPr="000160C5">
        <w:rPr>
          <w:rFonts w:cs="Times New Roman"/>
          <w:szCs w:val="28"/>
          <w:lang w:val="ru-RU"/>
        </w:rPr>
        <w:t xml:space="preserve"> </w:t>
      </w:r>
      <w:r w:rsidR="00CC02BF" w:rsidRPr="000160C5">
        <w:rPr>
          <w:rFonts w:cs="Times New Roman"/>
          <w:szCs w:val="28"/>
        </w:rPr>
        <w:t>Investment</w:t>
      </w:r>
      <w:r w:rsidR="00CC02BF" w:rsidRPr="000160C5">
        <w:rPr>
          <w:rFonts w:cs="Times New Roman"/>
          <w:szCs w:val="28"/>
          <w:lang w:val="ru-RU"/>
        </w:rPr>
        <w:t xml:space="preserve"> </w:t>
      </w:r>
      <w:r w:rsidR="00CC02BF" w:rsidRPr="000160C5">
        <w:rPr>
          <w:rFonts w:cs="Times New Roman"/>
          <w:szCs w:val="28"/>
        </w:rPr>
        <w:t>Company</w:t>
      </w:r>
      <w:r w:rsidR="00CC02BF" w:rsidRPr="000160C5">
        <w:rPr>
          <w:rFonts w:cs="Times New Roman"/>
          <w:szCs w:val="28"/>
          <w:lang w:val="ru-RU"/>
        </w:rPr>
        <w:t xml:space="preserve"> </w:t>
      </w:r>
      <w:r w:rsidR="00CC02BF" w:rsidRPr="000160C5">
        <w:rPr>
          <w:rFonts w:cs="Times New Roman"/>
          <w:szCs w:val="28"/>
        </w:rPr>
        <w:t>Act</w:t>
      </w:r>
      <w:r w:rsidR="00CC02BF" w:rsidRPr="000160C5">
        <w:rPr>
          <w:rFonts w:cs="Times New Roman"/>
          <w:szCs w:val="28"/>
          <w:lang w:val="ru-RU"/>
        </w:rPr>
        <w:t xml:space="preserve">) 1940 года, </w:t>
      </w:r>
      <w:r w:rsidR="004B4FDC" w:rsidRPr="000160C5">
        <w:rPr>
          <w:rFonts w:cs="Times New Roman"/>
          <w:szCs w:val="28"/>
          <w:lang w:val="ru-RU"/>
        </w:rPr>
        <w:t xml:space="preserve">устанавливающий для </w:t>
      </w:r>
      <w:r w:rsidR="00CC02BF" w:rsidRPr="000160C5">
        <w:rPr>
          <w:rFonts w:cs="Times New Roman"/>
          <w:szCs w:val="28"/>
          <w:lang w:val="ru-RU"/>
        </w:rPr>
        <w:t>инвестиционны</w:t>
      </w:r>
      <w:r w:rsidR="004B4FDC" w:rsidRPr="000160C5">
        <w:rPr>
          <w:rFonts w:cs="Times New Roman"/>
          <w:szCs w:val="28"/>
          <w:lang w:val="ru-RU"/>
        </w:rPr>
        <w:t>х</w:t>
      </w:r>
      <w:r w:rsidR="00CC02BF" w:rsidRPr="000160C5">
        <w:rPr>
          <w:rFonts w:cs="Times New Roman"/>
          <w:szCs w:val="28"/>
          <w:lang w:val="ru-RU"/>
        </w:rPr>
        <w:t xml:space="preserve"> компани</w:t>
      </w:r>
      <w:r w:rsidR="004B4FDC" w:rsidRPr="000160C5">
        <w:rPr>
          <w:rFonts w:cs="Times New Roman"/>
          <w:szCs w:val="28"/>
          <w:lang w:val="ru-RU"/>
        </w:rPr>
        <w:t>й</w:t>
      </w:r>
      <w:r w:rsidR="00CC02BF" w:rsidRPr="000160C5">
        <w:rPr>
          <w:rFonts w:cs="Times New Roman"/>
          <w:szCs w:val="28"/>
          <w:lang w:val="ru-RU"/>
        </w:rPr>
        <w:t xml:space="preserve"> </w:t>
      </w:r>
      <w:r w:rsidR="004B4FDC" w:rsidRPr="000160C5">
        <w:rPr>
          <w:rFonts w:cs="Times New Roman"/>
          <w:szCs w:val="28"/>
          <w:lang w:val="ru-RU"/>
        </w:rPr>
        <w:t xml:space="preserve">требование по </w:t>
      </w:r>
      <w:r w:rsidR="00CC02BF" w:rsidRPr="000160C5">
        <w:rPr>
          <w:rFonts w:cs="Times New Roman"/>
          <w:szCs w:val="28"/>
          <w:lang w:val="ru-RU"/>
        </w:rPr>
        <w:t>раскры</w:t>
      </w:r>
      <w:r w:rsidR="004B4FDC" w:rsidRPr="000160C5">
        <w:rPr>
          <w:rFonts w:cs="Times New Roman"/>
          <w:szCs w:val="28"/>
          <w:lang w:val="ru-RU"/>
        </w:rPr>
        <w:t>тию</w:t>
      </w:r>
      <w:r w:rsidR="00CC02BF" w:rsidRPr="000160C5">
        <w:rPr>
          <w:rFonts w:cs="Times New Roman"/>
          <w:szCs w:val="28"/>
          <w:lang w:val="ru-RU"/>
        </w:rPr>
        <w:t xml:space="preserve"> определенн</w:t>
      </w:r>
      <w:r w:rsidR="004B4FDC" w:rsidRPr="000160C5">
        <w:rPr>
          <w:rFonts w:cs="Times New Roman"/>
          <w:szCs w:val="28"/>
          <w:lang w:val="ru-RU"/>
        </w:rPr>
        <w:t>ой</w:t>
      </w:r>
      <w:r w:rsidR="00CC02BF" w:rsidRPr="000160C5">
        <w:rPr>
          <w:rFonts w:cs="Times New Roman"/>
          <w:szCs w:val="28"/>
          <w:lang w:val="ru-RU"/>
        </w:rPr>
        <w:t xml:space="preserve"> </w:t>
      </w:r>
      <w:r w:rsidR="00B86A59" w:rsidRPr="000160C5">
        <w:rPr>
          <w:rFonts w:cs="Times New Roman"/>
          <w:szCs w:val="28"/>
          <w:lang w:val="ru-RU"/>
        </w:rPr>
        <w:t>финансов</w:t>
      </w:r>
      <w:r w:rsidR="004B4FDC" w:rsidRPr="000160C5">
        <w:rPr>
          <w:rFonts w:cs="Times New Roman"/>
          <w:szCs w:val="28"/>
          <w:lang w:val="ru-RU"/>
        </w:rPr>
        <w:t>ой</w:t>
      </w:r>
      <w:r w:rsidR="00B86A59" w:rsidRPr="000160C5">
        <w:rPr>
          <w:rFonts w:cs="Times New Roman"/>
          <w:szCs w:val="28"/>
          <w:lang w:val="ru-RU"/>
        </w:rPr>
        <w:t xml:space="preserve"> </w:t>
      </w:r>
      <w:r w:rsidR="004B4FDC" w:rsidRPr="000160C5">
        <w:rPr>
          <w:rFonts w:cs="Times New Roman"/>
          <w:szCs w:val="28"/>
          <w:lang w:val="ru-RU"/>
        </w:rPr>
        <w:t>информации</w:t>
      </w:r>
      <w:r w:rsidR="00CC02BF" w:rsidRPr="000160C5">
        <w:rPr>
          <w:rFonts w:cs="Times New Roman"/>
          <w:szCs w:val="28"/>
          <w:lang w:val="ru-RU"/>
        </w:rPr>
        <w:t>,</w:t>
      </w:r>
      <w:r w:rsidR="001B49DF" w:rsidRPr="000160C5">
        <w:rPr>
          <w:rFonts w:cs="Times New Roman"/>
          <w:szCs w:val="28"/>
          <w:lang w:val="ru-RU"/>
        </w:rPr>
        <w:t xml:space="preserve"> Закон Сарбейнса-Оксли</w:t>
      </w:r>
      <w:r w:rsidR="00CC02BF" w:rsidRPr="000160C5">
        <w:rPr>
          <w:rFonts w:cs="Times New Roman"/>
          <w:szCs w:val="28"/>
          <w:lang w:val="ru-RU"/>
        </w:rPr>
        <w:t xml:space="preserve"> </w:t>
      </w:r>
      <w:r w:rsidR="001B49DF" w:rsidRPr="000160C5">
        <w:rPr>
          <w:rFonts w:cs="Times New Roman"/>
          <w:szCs w:val="28"/>
          <w:lang w:val="ru-RU"/>
        </w:rPr>
        <w:t xml:space="preserve">(Sarbanes-Oxley Act) 2002 года, внесший серьезные поправки в части подготовки и раскрытия финансовой информации, </w:t>
      </w:r>
      <w:r w:rsidR="006C7C53" w:rsidRPr="000160C5">
        <w:rPr>
          <w:rFonts w:cs="Times New Roman"/>
          <w:szCs w:val="28"/>
          <w:lang w:val="ru-RU"/>
        </w:rPr>
        <w:t xml:space="preserve">Закон Додда-Фрэнка о реформировании биржевой торговли и защите прав потребителя (Dodd-Frank </w:t>
      </w:r>
      <w:proofErr w:type="spellStart"/>
      <w:r w:rsidR="006C7C53" w:rsidRPr="000160C5">
        <w:rPr>
          <w:rFonts w:cs="Times New Roman"/>
          <w:szCs w:val="28"/>
          <w:lang w:val="ru-RU"/>
        </w:rPr>
        <w:t>Wall</w:t>
      </w:r>
      <w:proofErr w:type="spellEnd"/>
      <w:r w:rsidR="006C7C53" w:rsidRPr="000160C5">
        <w:rPr>
          <w:rFonts w:cs="Times New Roman"/>
          <w:szCs w:val="28"/>
          <w:lang w:val="ru-RU"/>
        </w:rPr>
        <w:t xml:space="preserve"> </w:t>
      </w:r>
      <w:proofErr w:type="spellStart"/>
      <w:r w:rsidR="006C7C53" w:rsidRPr="000160C5">
        <w:rPr>
          <w:rFonts w:cs="Times New Roman"/>
          <w:szCs w:val="28"/>
          <w:lang w:val="ru-RU"/>
        </w:rPr>
        <w:t>Street</w:t>
      </w:r>
      <w:proofErr w:type="spellEnd"/>
      <w:r w:rsidR="006C7C53" w:rsidRPr="000160C5">
        <w:rPr>
          <w:rFonts w:cs="Times New Roman"/>
          <w:szCs w:val="28"/>
          <w:lang w:val="ru-RU"/>
        </w:rPr>
        <w:t xml:space="preserve"> </w:t>
      </w:r>
      <w:proofErr w:type="spellStart"/>
      <w:r w:rsidR="006C7C53" w:rsidRPr="000160C5">
        <w:rPr>
          <w:rFonts w:cs="Times New Roman"/>
          <w:szCs w:val="28"/>
          <w:lang w:val="ru-RU"/>
        </w:rPr>
        <w:t>Reform</w:t>
      </w:r>
      <w:proofErr w:type="spellEnd"/>
      <w:r w:rsidR="006C7C53" w:rsidRPr="000160C5">
        <w:rPr>
          <w:rFonts w:cs="Times New Roman"/>
          <w:szCs w:val="28"/>
          <w:lang w:val="ru-RU"/>
        </w:rPr>
        <w:t xml:space="preserve"> </w:t>
      </w:r>
      <w:proofErr w:type="spellStart"/>
      <w:r w:rsidR="006C7C53" w:rsidRPr="000160C5">
        <w:rPr>
          <w:rFonts w:cs="Times New Roman"/>
          <w:szCs w:val="28"/>
          <w:lang w:val="ru-RU"/>
        </w:rPr>
        <w:t>and</w:t>
      </w:r>
      <w:proofErr w:type="spellEnd"/>
      <w:r w:rsidR="006C7C53" w:rsidRPr="000160C5">
        <w:rPr>
          <w:rFonts w:cs="Times New Roman"/>
          <w:szCs w:val="28"/>
          <w:lang w:val="ru-RU"/>
        </w:rPr>
        <w:t xml:space="preserve"> </w:t>
      </w:r>
      <w:proofErr w:type="spellStart"/>
      <w:r w:rsidR="006C7C53" w:rsidRPr="000160C5">
        <w:rPr>
          <w:rFonts w:cs="Times New Roman"/>
          <w:szCs w:val="28"/>
          <w:lang w:val="ru-RU"/>
        </w:rPr>
        <w:t>Consumer</w:t>
      </w:r>
      <w:proofErr w:type="spellEnd"/>
      <w:r w:rsidR="006C7C53" w:rsidRPr="000160C5">
        <w:rPr>
          <w:rFonts w:cs="Times New Roman"/>
          <w:szCs w:val="28"/>
          <w:lang w:val="ru-RU"/>
        </w:rPr>
        <w:t xml:space="preserve"> </w:t>
      </w:r>
      <w:proofErr w:type="spellStart"/>
      <w:r w:rsidR="006C7C53" w:rsidRPr="000160C5">
        <w:rPr>
          <w:rFonts w:cs="Times New Roman"/>
          <w:szCs w:val="28"/>
          <w:lang w:val="ru-RU"/>
        </w:rPr>
        <w:t>Protection</w:t>
      </w:r>
      <w:proofErr w:type="spellEnd"/>
      <w:r w:rsidR="006C7C53" w:rsidRPr="000160C5">
        <w:rPr>
          <w:rFonts w:cs="Times New Roman"/>
          <w:szCs w:val="28"/>
          <w:lang w:val="ru-RU"/>
        </w:rPr>
        <w:t xml:space="preserve"> </w:t>
      </w:r>
      <w:proofErr w:type="spellStart"/>
      <w:r w:rsidR="006C7C53" w:rsidRPr="000160C5">
        <w:rPr>
          <w:rFonts w:cs="Times New Roman"/>
          <w:szCs w:val="28"/>
          <w:lang w:val="ru-RU"/>
        </w:rPr>
        <w:t>Act</w:t>
      </w:r>
      <w:proofErr w:type="spellEnd"/>
      <w:r w:rsidR="006C7C53" w:rsidRPr="000160C5">
        <w:rPr>
          <w:rFonts w:cs="Times New Roman"/>
          <w:szCs w:val="28"/>
          <w:lang w:val="ru-RU"/>
        </w:rPr>
        <w:t>) 2010 года</w:t>
      </w:r>
      <w:r w:rsidR="00F67DF7" w:rsidRPr="000160C5">
        <w:rPr>
          <w:rFonts w:cs="Times New Roman"/>
          <w:szCs w:val="28"/>
          <w:lang w:val="ru-RU"/>
        </w:rPr>
        <w:t>.</w:t>
      </w:r>
    </w:p>
    <w:p w:rsidR="001E6AEE" w:rsidRPr="000160C5" w:rsidRDefault="00295C59" w:rsidP="005901E8">
      <w:pPr>
        <w:pStyle w:val="TNR14"/>
        <w:keepNext/>
        <w:widowControl w:val="0"/>
        <w:contextualSpacing/>
        <w:rPr>
          <w:rFonts w:cs="Times New Roman"/>
          <w:szCs w:val="28"/>
          <w:lang w:val="ru-RU"/>
        </w:rPr>
      </w:pPr>
      <w:r w:rsidRPr="000160C5">
        <w:rPr>
          <w:rFonts w:cs="Times New Roman"/>
          <w:szCs w:val="28"/>
          <w:lang w:val="ru-RU"/>
        </w:rPr>
        <w:t>Помимо законо</w:t>
      </w:r>
      <w:r w:rsidR="004B4FDC" w:rsidRPr="000160C5">
        <w:rPr>
          <w:rFonts w:cs="Times New Roman"/>
          <w:szCs w:val="28"/>
          <w:lang w:val="ru-RU"/>
        </w:rPr>
        <w:t>дательного регулирования рассматриваемой области</w:t>
      </w:r>
      <w:r w:rsidRPr="000160C5">
        <w:rPr>
          <w:rFonts w:cs="Times New Roman"/>
          <w:szCs w:val="28"/>
          <w:lang w:val="ru-RU"/>
        </w:rPr>
        <w:t xml:space="preserve"> существуют </w:t>
      </w:r>
      <w:r w:rsidR="004B4FDC" w:rsidRPr="000160C5">
        <w:rPr>
          <w:rFonts w:cs="Times New Roman"/>
          <w:szCs w:val="28"/>
          <w:lang w:val="ru-RU"/>
        </w:rPr>
        <w:t>нормативные акты</w:t>
      </w:r>
      <w:r w:rsidRPr="000160C5">
        <w:rPr>
          <w:rFonts w:cs="Times New Roman"/>
          <w:szCs w:val="28"/>
          <w:lang w:val="ru-RU"/>
        </w:rPr>
        <w:t xml:space="preserve">, принятые Комиссией США, которые являются некоторой </w:t>
      </w:r>
      <w:r w:rsidR="00AC6C47" w:rsidRPr="000160C5">
        <w:rPr>
          <w:rFonts w:cs="Times New Roman"/>
          <w:szCs w:val="28"/>
          <w:lang w:val="ru-RU"/>
        </w:rPr>
        <w:t xml:space="preserve">компиляцией отдельных положений указанных выше законов в адаптированной версии, более простой для восприятия. Указанные </w:t>
      </w:r>
      <w:r w:rsidR="004B4FDC" w:rsidRPr="000160C5">
        <w:rPr>
          <w:rFonts w:cs="Times New Roman"/>
          <w:szCs w:val="28"/>
          <w:lang w:val="ru-RU"/>
        </w:rPr>
        <w:t>акты Комиссии США</w:t>
      </w:r>
      <w:r w:rsidR="00AC6C47" w:rsidRPr="000160C5">
        <w:rPr>
          <w:rFonts w:cs="Times New Roman"/>
          <w:szCs w:val="28"/>
          <w:lang w:val="ru-RU"/>
        </w:rPr>
        <w:t xml:space="preserve"> ссылаются на конкретные статьи законов при описании того или иного вопроса. В основном, данные </w:t>
      </w:r>
      <w:r w:rsidR="004B4FDC" w:rsidRPr="000160C5">
        <w:rPr>
          <w:rFonts w:cs="Times New Roman"/>
          <w:szCs w:val="28"/>
          <w:lang w:val="ru-RU"/>
        </w:rPr>
        <w:t>нормативные акты</w:t>
      </w:r>
      <w:r w:rsidR="00AC6C47" w:rsidRPr="000160C5">
        <w:rPr>
          <w:rFonts w:cs="Times New Roman"/>
          <w:szCs w:val="28"/>
          <w:lang w:val="ru-RU"/>
        </w:rPr>
        <w:t xml:space="preserve"> затрагивают </w:t>
      </w:r>
      <w:r w:rsidR="00AC6C47" w:rsidRPr="000160C5">
        <w:rPr>
          <w:rFonts w:cs="Times New Roman"/>
          <w:szCs w:val="28"/>
          <w:lang w:val="ru-RU"/>
        </w:rPr>
        <w:lastRenderedPageBreak/>
        <w:t xml:space="preserve">организационные и процедурные вопросы организации деятельности Комиссии США. </w:t>
      </w:r>
      <w:r w:rsidR="00A20C1B" w:rsidRPr="000160C5">
        <w:rPr>
          <w:rFonts w:cs="Times New Roman"/>
          <w:szCs w:val="28"/>
          <w:lang w:val="ru-RU"/>
        </w:rPr>
        <w:t xml:space="preserve"> </w:t>
      </w:r>
      <w:r w:rsidRPr="000160C5">
        <w:rPr>
          <w:rFonts w:cs="Times New Roman"/>
          <w:szCs w:val="28"/>
          <w:lang w:val="ru-RU"/>
        </w:rPr>
        <w:t xml:space="preserve"> </w:t>
      </w:r>
    </w:p>
    <w:p w:rsidR="00F60128" w:rsidRPr="000160C5" w:rsidRDefault="00FF6CB2" w:rsidP="005901E8">
      <w:pPr>
        <w:pStyle w:val="TNR14"/>
        <w:keepNext/>
        <w:widowControl w:val="0"/>
        <w:contextualSpacing/>
        <w:rPr>
          <w:rFonts w:cs="Times New Roman"/>
          <w:szCs w:val="28"/>
          <w:lang w:val="ru-RU"/>
        </w:rPr>
      </w:pPr>
      <w:r w:rsidRPr="000160C5">
        <w:rPr>
          <w:rFonts w:cs="Times New Roman"/>
          <w:szCs w:val="28"/>
          <w:lang w:val="ru-RU"/>
        </w:rPr>
        <w:t xml:space="preserve">Итак, суммируя выше сказанное, нормативное регулирование раскрытия информации эмитентами в России и США имеет существенные различия, продиктованные объективными обстоятельствами,  историей принятия нормативных актов и </w:t>
      </w:r>
      <w:r w:rsidR="00644A2B" w:rsidRPr="000160C5">
        <w:rPr>
          <w:rFonts w:cs="Times New Roman"/>
          <w:szCs w:val="28"/>
          <w:lang w:val="ru-RU"/>
        </w:rPr>
        <w:t xml:space="preserve">иными факторами, повлиявшими на </w:t>
      </w:r>
      <w:r w:rsidR="00D1227E" w:rsidRPr="000160C5">
        <w:rPr>
          <w:rFonts w:cs="Times New Roman"/>
          <w:szCs w:val="28"/>
          <w:lang w:val="ru-RU"/>
        </w:rPr>
        <w:t xml:space="preserve">специфику </w:t>
      </w:r>
      <w:r w:rsidR="00644A2B" w:rsidRPr="000160C5">
        <w:rPr>
          <w:rFonts w:cs="Times New Roman"/>
          <w:szCs w:val="28"/>
          <w:lang w:val="ru-RU"/>
        </w:rPr>
        <w:t>нормативно</w:t>
      </w:r>
      <w:r w:rsidR="00D1227E" w:rsidRPr="000160C5">
        <w:rPr>
          <w:rFonts w:cs="Times New Roman"/>
          <w:szCs w:val="28"/>
          <w:lang w:val="ru-RU"/>
        </w:rPr>
        <w:t>го</w:t>
      </w:r>
      <w:r w:rsidR="00644A2B" w:rsidRPr="000160C5">
        <w:rPr>
          <w:rFonts w:cs="Times New Roman"/>
          <w:szCs w:val="28"/>
          <w:lang w:val="ru-RU"/>
        </w:rPr>
        <w:t xml:space="preserve"> регулировани</w:t>
      </w:r>
      <w:r w:rsidR="00D1227E" w:rsidRPr="000160C5">
        <w:rPr>
          <w:rFonts w:cs="Times New Roman"/>
          <w:szCs w:val="28"/>
          <w:lang w:val="ru-RU"/>
        </w:rPr>
        <w:t>я сферы финансовых рынков</w:t>
      </w:r>
      <w:r w:rsidR="00644A2B" w:rsidRPr="000160C5">
        <w:rPr>
          <w:rFonts w:cs="Times New Roman"/>
          <w:szCs w:val="28"/>
          <w:lang w:val="ru-RU"/>
        </w:rPr>
        <w:t>.</w:t>
      </w:r>
      <w:r w:rsidR="00EC4BFC" w:rsidRPr="000160C5">
        <w:rPr>
          <w:rFonts w:cs="Times New Roman"/>
          <w:szCs w:val="28"/>
          <w:lang w:val="ru-RU"/>
        </w:rPr>
        <w:t xml:space="preserve"> Нормативное регулирование в США осуществляется в большей части на законодательном уровне, потому отличается большей стабильностью в отличие от регулирования раскрытия информации в России, в большей части осуществляемое на подзаконном уровне, а потому отличающееся нестабильностью и изменчивостью. </w:t>
      </w:r>
    </w:p>
    <w:p w:rsidR="00F60128" w:rsidRPr="000160C5" w:rsidRDefault="00F60128" w:rsidP="003968F6">
      <w:pPr>
        <w:pStyle w:val="2"/>
        <w:keepLines w:val="0"/>
        <w:widowControl w:val="0"/>
        <w:spacing w:before="0"/>
        <w:ind w:firstLine="708"/>
        <w:rPr>
          <w:rFonts w:cs="Times New Roman"/>
          <w:szCs w:val="28"/>
        </w:rPr>
      </w:pPr>
      <w:bookmarkStart w:id="7" w:name="_Toc356162047"/>
      <w:r w:rsidRPr="000160C5">
        <w:rPr>
          <w:rFonts w:cs="Times New Roman"/>
          <w:szCs w:val="28"/>
        </w:rPr>
        <w:t>§5. Выводы</w:t>
      </w:r>
      <w:bookmarkEnd w:id="7"/>
    </w:p>
    <w:p w:rsidR="00F26E5A" w:rsidRPr="000160C5" w:rsidRDefault="00F26E5A" w:rsidP="00F26E5A">
      <w:pPr>
        <w:pStyle w:val="TNR14"/>
        <w:rPr>
          <w:rFonts w:cs="Times New Roman"/>
          <w:lang w:val="ru-RU"/>
        </w:rPr>
      </w:pPr>
      <w:r w:rsidRPr="000160C5">
        <w:rPr>
          <w:rFonts w:cs="Times New Roman"/>
          <w:lang w:val="ru-RU"/>
        </w:rPr>
        <w:t xml:space="preserve">В рамках первой главы настоящего исследования, посвященной значению и необходимости раскрытия информации эмитентами на рынке ценных бумаг, были рассмотрены следующие вопросы: </w:t>
      </w:r>
    </w:p>
    <w:p w:rsidR="00F26E5A" w:rsidRPr="000160C5" w:rsidRDefault="00F26E5A" w:rsidP="00F26E5A">
      <w:pPr>
        <w:pStyle w:val="TNR14"/>
        <w:rPr>
          <w:rFonts w:cs="Times New Roman"/>
          <w:lang w:val="ru-RU"/>
        </w:rPr>
      </w:pPr>
      <w:r w:rsidRPr="000160C5">
        <w:rPr>
          <w:rFonts w:cs="Times New Roman"/>
          <w:lang w:val="ru-RU"/>
        </w:rPr>
        <w:t xml:space="preserve">1) </w:t>
      </w:r>
      <w:r w:rsidRPr="000160C5">
        <w:rPr>
          <w:rFonts w:cs="Times New Roman"/>
          <w:i/>
          <w:lang w:val="ru-RU"/>
        </w:rPr>
        <w:t>Понятие и необходимость раскрытия информации</w:t>
      </w:r>
      <w:r w:rsidRPr="000160C5">
        <w:rPr>
          <w:rFonts w:cs="Times New Roman"/>
          <w:lang w:val="ru-RU"/>
        </w:rPr>
        <w:t xml:space="preserve">. Раскрытие информации является нормативно установленной публичной обязанностью эмитента, нацеленной на защиту прав инвестора и обеспечение инвестора информацией, которая может повлиять на принимаемое им инвестиционное решение. </w:t>
      </w:r>
    </w:p>
    <w:p w:rsidR="00F26E5A" w:rsidRPr="000160C5" w:rsidRDefault="00F26E5A" w:rsidP="00F26E5A">
      <w:pPr>
        <w:pStyle w:val="TNR14"/>
        <w:rPr>
          <w:rFonts w:cs="Times New Roman"/>
          <w:lang w:val="ru-RU"/>
        </w:rPr>
      </w:pPr>
      <w:r w:rsidRPr="000160C5">
        <w:rPr>
          <w:rFonts w:cs="Times New Roman"/>
          <w:lang w:val="ru-RU"/>
        </w:rPr>
        <w:t xml:space="preserve">Круг лиц, которым адресована раскрываемая информация, неограничен, так как заинтересованным лицом может быть как действительный инвестор, так и потенциальный, как внутренний, так и внешний. В связи с этим информационная прозрачность рынка ценных бумаг оказывает существенное влияние на инвестиционный климат внутри страны, а также на ее инвестиционную привлекательность для иностранных инвесторов, что в целом влияет на экономику государства и трансграничные экономические отношения.   </w:t>
      </w:r>
    </w:p>
    <w:p w:rsidR="00F26E5A" w:rsidRPr="000160C5" w:rsidRDefault="00F26E5A" w:rsidP="00F26E5A">
      <w:pPr>
        <w:pStyle w:val="TNR14"/>
        <w:rPr>
          <w:rFonts w:cs="Times New Roman"/>
          <w:lang w:val="ru-RU"/>
        </w:rPr>
      </w:pPr>
      <w:r w:rsidRPr="000160C5">
        <w:rPr>
          <w:rFonts w:cs="Times New Roman"/>
          <w:lang w:val="ru-RU"/>
        </w:rPr>
        <w:lastRenderedPageBreak/>
        <w:t xml:space="preserve">2) </w:t>
      </w:r>
      <w:r w:rsidRPr="000160C5">
        <w:rPr>
          <w:rFonts w:cs="Times New Roman"/>
          <w:i/>
          <w:lang w:val="ru-RU"/>
        </w:rPr>
        <w:t>Эмитенты, обязанные раскрывать информацию</w:t>
      </w:r>
      <w:r w:rsidRPr="000160C5">
        <w:rPr>
          <w:rFonts w:cs="Times New Roman"/>
          <w:lang w:val="ru-RU"/>
        </w:rPr>
        <w:t xml:space="preserve">. Общий подход США и России к определению круга эмитентов, обязанных раскрывать информацию, аналогичен: компания, предлагающая ценные бумаги публично, обязана раскрывать информацию сначала на этапе эмиссии (регистрации) </w:t>
      </w:r>
      <w:r w:rsidR="00F63EE9" w:rsidRPr="000160C5">
        <w:rPr>
          <w:rFonts w:cs="Times New Roman"/>
          <w:lang w:val="ru-RU"/>
        </w:rPr>
        <w:t xml:space="preserve">выпуска </w:t>
      </w:r>
      <w:r w:rsidRPr="000160C5">
        <w:rPr>
          <w:rFonts w:cs="Times New Roman"/>
          <w:lang w:val="ru-RU"/>
        </w:rPr>
        <w:t xml:space="preserve">ценных бумаг в уполномоченном государственном органе, далее – раскрывать информацию на периодической основе. Критерий публичности является достаточно формальным и выражается в числовом значении.  </w:t>
      </w:r>
    </w:p>
    <w:p w:rsidR="00F26E5A" w:rsidRPr="000160C5" w:rsidRDefault="00F26E5A" w:rsidP="00F26E5A">
      <w:pPr>
        <w:pStyle w:val="TNR14"/>
        <w:rPr>
          <w:rFonts w:cs="Times New Roman"/>
          <w:lang w:val="ru-RU"/>
        </w:rPr>
      </w:pPr>
      <w:r w:rsidRPr="000160C5">
        <w:rPr>
          <w:rFonts w:cs="Times New Roman"/>
          <w:lang w:val="ru-RU"/>
        </w:rPr>
        <w:t xml:space="preserve">3) </w:t>
      </w:r>
      <w:r w:rsidRPr="000160C5">
        <w:rPr>
          <w:rFonts w:cs="Times New Roman"/>
          <w:i/>
          <w:lang w:val="ru-RU"/>
        </w:rPr>
        <w:t>Уполномоченный регулятор раскрытия информации эмитентами</w:t>
      </w:r>
      <w:r w:rsidRPr="000160C5">
        <w:rPr>
          <w:rFonts w:cs="Times New Roman"/>
          <w:lang w:val="ru-RU"/>
        </w:rPr>
        <w:t xml:space="preserve">. Кроме осуществления </w:t>
      </w:r>
      <w:proofErr w:type="gramStart"/>
      <w:r w:rsidRPr="000160C5">
        <w:rPr>
          <w:rFonts w:cs="Times New Roman"/>
          <w:lang w:val="ru-RU"/>
        </w:rPr>
        <w:t>контроля за</w:t>
      </w:r>
      <w:proofErr w:type="gramEnd"/>
      <w:r w:rsidRPr="000160C5">
        <w:rPr>
          <w:rFonts w:cs="Times New Roman"/>
          <w:lang w:val="ru-RU"/>
        </w:rPr>
        <w:t xml:space="preserve"> должным раскрытием информации со стороны инвесторов, необходим публичный орган, обладающий </w:t>
      </w:r>
      <w:r w:rsidR="000658C3">
        <w:rPr>
          <w:rFonts w:cs="Times New Roman"/>
          <w:lang w:val="ru-RU"/>
        </w:rPr>
        <w:t>определенными</w:t>
      </w:r>
      <w:r w:rsidRPr="000160C5">
        <w:rPr>
          <w:rFonts w:cs="Times New Roman"/>
          <w:lang w:val="ru-RU"/>
        </w:rPr>
        <w:t xml:space="preserve"> полномочиями по контролю и надзору в сфере раскрытия информации. В рамках данной главы было установлено, что американский регулятор –</w:t>
      </w:r>
      <w:r w:rsidR="00F63EE9" w:rsidRPr="000160C5">
        <w:rPr>
          <w:rFonts w:cs="Times New Roman"/>
          <w:lang w:val="ru-RU"/>
        </w:rPr>
        <w:t xml:space="preserve"> </w:t>
      </w:r>
      <w:r w:rsidRPr="000160C5">
        <w:rPr>
          <w:rFonts w:cs="Times New Roman"/>
          <w:lang w:val="ru-RU"/>
        </w:rPr>
        <w:t xml:space="preserve">Комиссия США - является более стабильным, нежели российский - ФСФР. </w:t>
      </w:r>
    </w:p>
    <w:p w:rsidR="00F26E5A" w:rsidRPr="000160C5" w:rsidRDefault="00F26E5A" w:rsidP="00F26E5A">
      <w:pPr>
        <w:pStyle w:val="TNR14"/>
        <w:rPr>
          <w:rFonts w:cs="Times New Roman"/>
          <w:lang w:val="ru-RU"/>
        </w:rPr>
      </w:pPr>
      <w:r w:rsidRPr="000160C5">
        <w:rPr>
          <w:rFonts w:cs="Times New Roman"/>
          <w:lang w:val="ru-RU"/>
        </w:rPr>
        <w:t xml:space="preserve">Кроме того, большие кадровые резервы направлены на анализ предоставляемой эмитентами информации в США, нежели в России, что сказывается на качестве осуществляемого контроля. </w:t>
      </w:r>
    </w:p>
    <w:p w:rsidR="00F26E5A" w:rsidRPr="000160C5" w:rsidRDefault="00F26E5A" w:rsidP="00F26E5A">
      <w:pPr>
        <w:pStyle w:val="TNR14"/>
        <w:rPr>
          <w:rFonts w:cs="Times New Roman"/>
          <w:lang w:val="ru-RU"/>
        </w:rPr>
      </w:pPr>
      <w:r w:rsidRPr="000160C5">
        <w:rPr>
          <w:rFonts w:cs="Times New Roman"/>
          <w:lang w:val="ru-RU"/>
        </w:rPr>
        <w:t>Также стоит отметить, что в 2013 году планируется интеграция ФСФР в состав Центрального банка Российской Федерации с целью создания сильного финансового мегарегулятора.</w:t>
      </w:r>
    </w:p>
    <w:p w:rsidR="00F26E5A" w:rsidRPr="000160C5" w:rsidRDefault="00F26E5A" w:rsidP="00F26E5A">
      <w:pPr>
        <w:pStyle w:val="TNR14"/>
        <w:rPr>
          <w:rFonts w:cs="Times New Roman"/>
          <w:lang w:val="ru-RU"/>
        </w:rPr>
      </w:pPr>
      <w:r w:rsidRPr="000160C5">
        <w:rPr>
          <w:rFonts w:cs="Times New Roman"/>
          <w:lang w:val="ru-RU"/>
        </w:rPr>
        <w:t xml:space="preserve">3) </w:t>
      </w:r>
      <w:r w:rsidRPr="000160C5">
        <w:rPr>
          <w:rFonts w:cs="Times New Roman"/>
          <w:i/>
          <w:lang w:val="ru-RU"/>
        </w:rPr>
        <w:t>Нормативное регулирование раскрытия информации эмитентами.</w:t>
      </w:r>
    </w:p>
    <w:p w:rsidR="00F26E5A" w:rsidRPr="000160C5" w:rsidRDefault="00F26E5A" w:rsidP="00F26E5A">
      <w:pPr>
        <w:pStyle w:val="TNR14"/>
        <w:rPr>
          <w:rFonts w:cs="Times New Roman"/>
          <w:lang w:val="ru-RU"/>
        </w:rPr>
      </w:pPr>
      <w:r w:rsidRPr="000160C5">
        <w:rPr>
          <w:rFonts w:cs="Times New Roman"/>
          <w:lang w:val="ru-RU"/>
        </w:rPr>
        <w:t xml:space="preserve">Нормативное регулирование раскрытия информации эмитентами в России и США имеет существенные различия, продиктованные объективными обстоятельствами,  историей принятия нормативных актов и иными факторами, повлиявшими на специфику нормативного регулирования сферы финансовых рынков. Нормативное регулирование в США осуществляется в большей части на законодательном уровне, потому отличается большей стабильностью в отличие от регулирования раскрытия </w:t>
      </w:r>
      <w:r w:rsidRPr="000160C5">
        <w:rPr>
          <w:rFonts w:cs="Times New Roman"/>
          <w:lang w:val="ru-RU"/>
        </w:rPr>
        <w:lastRenderedPageBreak/>
        <w:t xml:space="preserve">информации в России, в большей части осуществляемое на подзаконном уровне, а потому отличающееся нестабильностью и изменчивостью. </w:t>
      </w:r>
    </w:p>
    <w:p w:rsidR="00F26E5A" w:rsidRPr="000160C5" w:rsidRDefault="00F26E5A" w:rsidP="00F26E5A">
      <w:pPr>
        <w:pStyle w:val="TNR14"/>
        <w:rPr>
          <w:rFonts w:cs="Times New Roman"/>
          <w:lang w:val="ru-RU"/>
        </w:rPr>
      </w:pPr>
      <w:r w:rsidRPr="000160C5">
        <w:rPr>
          <w:rFonts w:cs="Times New Roman"/>
          <w:lang w:val="ru-RU"/>
        </w:rPr>
        <w:t>Общим итогом первой главы является существенное различие в подходе регулирования раскрытия информации в России и США при</w:t>
      </w:r>
      <w:r w:rsidR="000658C3">
        <w:rPr>
          <w:rFonts w:cs="Times New Roman"/>
          <w:lang w:val="ru-RU"/>
        </w:rPr>
        <w:t xml:space="preserve"> сход</w:t>
      </w:r>
      <w:r w:rsidR="006449F4">
        <w:rPr>
          <w:rFonts w:cs="Times New Roman"/>
          <w:lang w:val="ru-RU"/>
        </w:rPr>
        <w:t>н</w:t>
      </w:r>
      <w:r w:rsidR="000658C3">
        <w:rPr>
          <w:rFonts w:cs="Times New Roman"/>
          <w:lang w:val="ru-RU"/>
        </w:rPr>
        <w:t>ых</w:t>
      </w:r>
      <w:r w:rsidRPr="000160C5">
        <w:rPr>
          <w:rFonts w:cs="Times New Roman"/>
          <w:lang w:val="ru-RU"/>
        </w:rPr>
        <w:t xml:space="preserve"> общих принципах установления обязанности по раскрытию информации для публичных компаний. </w:t>
      </w:r>
    </w:p>
    <w:p w:rsidR="00F60128" w:rsidRPr="000160C5" w:rsidRDefault="00F60128" w:rsidP="005901E8">
      <w:pPr>
        <w:keepNext/>
        <w:widowControl w:val="0"/>
        <w:spacing w:after="0"/>
        <w:rPr>
          <w:rFonts w:ascii="Times New Roman" w:eastAsiaTheme="majorEastAsia" w:hAnsi="Times New Roman" w:cs="Times New Roman"/>
          <w:color w:val="4F81BD" w:themeColor="accent1"/>
          <w:sz w:val="28"/>
          <w:szCs w:val="28"/>
        </w:rPr>
      </w:pPr>
      <w:r w:rsidRPr="000160C5">
        <w:rPr>
          <w:rFonts w:ascii="Times New Roman" w:hAnsi="Times New Roman" w:cs="Times New Roman"/>
          <w:sz w:val="28"/>
          <w:szCs w:val="28"/>
        </w:rPr>
        <w:br w:type="page"/>
      </w:r>
    </w:p>
    <w:p w:rsidR="00F60128" w:rsidRPr="000160C5" w:rsidRDefault="00F60128" w:rsidP="005574E6">
      <w:pPr>
        <w:pStyle w:val="1"/>
        <w:keepLines w:val="0"/>
        <w:widowControl w:val="0"/>
        <w:spacing w:before="0"/>
        <w:rPr>
          <w:rFonts w:cs="Times New Roman"/>
        </w:rPr>
      </w:pPr>
      <w:bookmarkStart w:id="8" w:name="_Toc356162048"/>
      <w:r w:rsidRPr="000160C5">
        <w:rPr>
          <w:rFonts w:cs="Times New Roman"/>
        </w:rPr>
        <w:lastRenderedPageBreak/>
        <w:t xml:space="preserve">Глава </w:t>
      </w:r>
      <w:r w:rsidRPr="000160C5">
        <w:rPr>
          <w:rFonts w:cs="Times New Roman"/>
          <w:lang w:val="en-US"/>
        </w:rPr>
        <w:t>II</w:t>
      </w:r>
      <w:r w:rsidRPr="000160C5">
        <w:rPr>
          <w:rFonts w:cs="Times New Roman"/>
        </w:rPr>
        <w:t>. Объем информации, подлежащей обязательному раскрытию эмитентами</w:t>
      </w:r>
      <w:bookmarkEnd w:id="8"/>
    </w:p>
    <w:p w:rsidR="00DD26FF" w:rsidRPr="000160C5" w:rsidRDefault="00DD26FF" w:rsidP="005574E6">
      <w:pPr>
        <w:pStyle w:val="2"/>
        <w:keepLines w:val="0"/>
        <w:widowControl w:val="0"/>
        <w:spacing w:before="0" w:line="360" w:lineRule="auto"/>
        <w:rPr>
          <w:rFonts w:cs="Times New Roman"/>
          <w:szCs w:val="28"/>
        </w:rPr>
      </w:pPr>
      <w:bookmarkStart w:id="9" w:name="_Toc356162049"/>
      <w:r w:rsidRPr="000160C5">
        <w:rPr>
          <w:rFonts w:cs="Times New Roman"/>
          <w:szCs w:val="28"/>
        </w:rPr>
        <w:t>§1. Формы раскрытия информации</w:t>
      </w:r>
      <w:bookmarkEnd w:id="9"/>
    </w:p>
    <w:p w:rsidR="00464605" w:rsidRPr="000160C5" w:rsidRDefault="001037FE" w:rsidP="005901E8">
      <w:pPr>
        <w:pStyle w:val="TNR14"/>
        <w:keepNext/>
        <w:widowControl w:val="0"/>
        <w:rPr>
          <w:rFonts w:cs="Times New Roman"/>
          <w:szCs w:val="28"/>
          <w:lang w:val="ru-RU"/>
        </w:rPr>
      </w:pPr>
      <w:r w:rsidRPr="000160C5">
        <w:rPr>
          <w:rFonts w:cs="Times New Roman"/>
          <w:szCs w:val="28"/>
          <w:lang w:val="ru-RU"/>
        </w:rPr>
        <w:t xml:space="preserve">После того, как мы ответили на вопрос о значении раскрытия информации, необходимо </w:t>
      </w:r>
      <w:r w:rsidR="00464605" w:rsidRPr="000160C5">
        <w:rPr>
          <w:rFonts w:cs="Times New Roman"/>
          <w:szCs w:val="28"/>
          <w:lang w:val="ru-RU"/>
        </w:rPr>
        <w:t>определить</w:t>
      </w:r>
      <w:r w:rsidRPr="000160C5">
        <w:rPr>
          <w:rFonts w:cs="Times New Roman"/>
          <w:szCs w:val="28"/>
          <w:lang w:val="ru-RU"/>
        </w:rPr>
        <w:t xml:space="preserve"> объем информации, подлежащей обязательному раскрытию эмитентами</w:t>
      </w:r>
      <w:r w:rsidR="00C24792" w:rsidRPr="00C24792">
        <w:rPr>
          <w:rFonts w:cs="Times New Roman"/>
          <w:szCs w:val="28"/>
          <w:lang w:val="ru-RU"/>
        </w:rPr>
        <w:t>.</w:t>
      </w:r>
      <w:r w:rsidRPr="000160C5">
        <w:rPr>
          <w:rFonts w:cs="Times New Roman"/>
          <w:szCs w:val="28"/>
          <w:lang w:val="ru-RU"/>
        </w:rPr>
        <w:t xml:space="preserve"> </w:t>
      </w:r>
      <w:r w:rsidR="00464605" w:rsidRPr="000160C5">
        <w:rPr>
          <w:rFonts w:cs="Times New Roman"/>
          <w:szCs w:val="28"/>
          <w:lang w:val="ru-RU"/>
        </w:rPr>
        <w:t>Прежде всего, рассмотрим, как</w:t>
      </w:r>
      <w:r w:rsidR="00C24792">
        <w:rPr>
          <w:rFonts w:cs="Times New Roman"/>
          <w:szCs w:val="28"/>
          <w:lang w:val="ru-RU"/>
        </w:rPr>
        <w:t>им образом</w:t>
      </w:r>
      <w:r w:rsidR="00464605" w:rsidRPr="000160C5">
        <w:rPr>
          <w:rFonts w:cs="Times New Roman"/>
          <w:szCs w:val="28"/>
          <w:lang w:val="ru-RU"/>
        </w:rPr>
        <w:t xml:space="preserve"> эмитенты обязаны раскрывать информацию, иначе говоря, формы раскрытия информации. </w:t>
      </w:r>
    </w:p>
    <w:p w:rsidR="00725A66" w:rsidRPr="000160C5" w:rsidRDefault="00725A66" w:rsidP="005901E8">
      <w:pPr>
        <w:pStyle w:val="TNR14"/>
        <w:keepNext/>
        <w:widowControl w:val="0"/>
        <w:rPr>
          <w:rFonts w:cs="Times New Roman"/>
          <w:szCs w:val="28"/>
          <w:lang w:val="ru-RU"/>
        </w:rPr>
      </w:pPr>
      <w:r w:rsidRPr="000160C5">
        <w:rPr>
          <w:rFonts w:cs="Times New Roman"/>
          <w:szCs w:val="28"/>
          <w:lang w:val="ru-RU"/>
        </w:rPr>
        <w:t xml:space="preserve">Под формой раскрытия информации следует понимать вид документа, в отношении которого должны быть проведены действия по его раскрытию </w:t>
      </w:r>
      <w:r w:rsidR="00464605" w:rsidRPr="000160C5">
        <w:rPr>
          <w:rFonts w:cs="Times New Roman"/>
          <w:szCs w:val="28"/>
          <w:lang w:val="ru-RU"/>
        </w:rPr>
        <w:t>согласно нормативно</w:t>
      </w:r>
      <w:r w:rsidRPr="000160C5">
        <w:rPr>
          <w:rFonts w:cs="Times New Roman"/>
          <w:szCs w:val="28"/>
          <w:lang w:val="ru-RU"/>
        </w:rPr>
        <w:t xml:space="preserve"> определенной процедуре.</w:t>
      </w:r>
      <w:r w:rsidR="00A656F4" w:rsidRPr="000160C5">
        <w:rPr>
          <w:rStyle w:val="a9"/>
          <w:rFonts w:cs="Times New Roman"/>
          <w:szCs w:val="28"/>
          <w:lang w:val="ru-RU"/>
        </w:rPr>
        <w:footnoteReference w:id="29"/>
      </w:r>
      <w:r w:rsidRPr="000160C5">
        <w:rPr>
          <w:rFonts w:cs="Times New Roman"/>
          <w:szCs w:val="28"/>
          <w:lang w:val="ru-RU"/>
        </w:rPr>
        <w:t xml:space="preserve"> </w:t>
      </w:r>
      <w:r w:rsidR="004B082E" w:rsidRPr="000160C5">
        <w:rPr>
          <w:rFonts w:cs="Times New Roman"/>
          <w:szCs w:val="28"/>
          <w:lang w:val="ru-RU"/>
        </w:rPr>
        <w:t>На взгляд автора</w:t>
      </w:r>
      <w:r w:rsidR="00B845A1" w:rsidRPr="000160C5">
        <w:rPr>
          <w:rFonts w:cs="Times New Roman"/>
          <w:szCs w:val="28"/>
          <w:lang w:val="ru-RU"/>
        </w:rPr>
        <w:t xml:space="preserve"> настоящей работы</w:t>
      </w:r>
      <w:r w:rsidR="004B082E" w:rsidRPr="000160C5">
        <w:rPr>
          <w:rFonts w:cs="Times New Roman"/>
          <w:szCs w:val="28"/>
          <w:lang w:val="ru-RU"/>
        </w:rPr>
        <w:t>, п</w:t>
      </w:r>
      <w:r w:rsidRPr="000160C5">
        <w:rPr>
          <w:rFonts w:cs="Times New Roman"/>
          <w:szCs w:val="28"/>
          <w:lang w:val="ru-RU"/>
        </w:rPr>
        <w:t xml:space="preserve">онятие «вид документа» является достаточно условным, поскольку в рамках раскрытия информации эмитент обязан предоставить определенные законодательством сведения по установленному образцу (форме) </w:t>
      </w:r>
      <w:r w:rsidR="004B082E" w:rsidRPr="000160C5">
        <w:rPr>
          <w:rFonts w:cs="Times New Roman"/>
          <w:szCs w:val="28"/>
          <w:lang w:val="ru-RU"/>
        </w:rPr>
        <w:t xml:space="preserve">в установленный срок и при соблюдении определенной процедуры. Таким образом, форма раскрытия информации характеризуется совокупностью </w:t>
      </w:r>
      <w:r w:rsidR="00464605" w:rsidRPr="000160C5">
        <w:rPr>
          <w:rFonts w:cs="Times New Roman"/>
          <w:szCs w:val="28"/>
          <w:lang w:val="ru-RU"/>
        </w:rPr>
        <w:t>нормативных</w:t>
      </w:r>
      <w:r w:rsidR="004B082E" w:rsidRPr="000160C5">
        <w:rPr>
          <w:rFonts w:cs="Times New Roman"/>
          <w:szCs w:val="28"/>
          <w:lang w:val="ru-RU"/>
        </w:rPr>
        <w:t xml:space="preserve"> требований к содержанию раскрыва</w:t>
      </w:r>
      <w:r w:rsidR="00C24792">
        <w:rPr>
          <w:rFonts w:cs="Times New Roman"/>
          <w:szCs w:val="28"/>
          <w:lang w:val="ru-RU"/>
        </w:rPr>
        <w:t>емой информации, порядку</w:t>
      </w:r>
      <w:r w:rsidR="00E35DBF">
        <w:rPr>
          <w:rFonts w:cs="Times New Roman"/>
          <w:szCs w:val="28"/>
          <w:lang w:val="ru-RU"/>
        </w:rPr>
        <w:t xml:space="preserve"> и</w:t>
      </w:r>
      <w:r w:rsidR="00C24792">
        <w:rPr>
          <w:rFonts w:cs="Times New Roman"/>
          <w:szCs w:val="28"/>
          <w:lang w:val="ru-RU"/>
        </w:rPr>
        <w:t xml:space="preserve"> срокам</w:t>
      </w:r>
      <w:r w:rsidR="004B082E" w:rsidRPr="000160C5">
        <w:rPr>
          <w:rFonts w:cs="Times New Roman"/>
          <w:szCs w:val="28"/>
          <w:lang w:val="ru-RU"/>
        </w:rPr>
        <w:t>, а также обстоятельств, служащи</w:t>
      </w:r>
      <w:r w:rsidR="00C24792">
        <w:rPr>
          <w:rFonts w:cs="Times New Roman"/>
          <w:szCs w:val="28"/>
          <w:lang w:val="ru-RU"/>
        </w:rPr>
        <w:t>х</w:t>
      </w:r>
      <w:r w:rsidR="004B082E" w:rsidRPr="000160C5">
        <w:rPr>
          <w:rFonts w:cs="Times New Roman"/>
          <w:szCs w:val="28"/>
          <w:lang w:val="ru-RU"/>
        </w:rPr>
        <w:t xml:space="preserve"> основанием для возникновения у эмитента обязанности по раскрытию информации в той или иной форме. </w:t>
      </w:r>
    </w:p>
    <w:p w:rsidR="000B5468" w:rsidRPr="000160C5" w:rsidRDefault="004B082E" w:rsidP="005901E8">
      <w:pPr>
        <w:pStyle w:val="TNR14"/>
        <w:keepNext/>
        <w:widowControl w:val="0"/>
        <w:rPr>
          <w:rFonts w:cs="Times New Roman"/>
          <w:szCs w:val="28"/>
          <w:lang w:val="ru-RU"/>
        </w:rPr>
      </w:pPr>
      <w:r w:rsidRPr="000160C5">
        <w:rPr>
          <w:rFonts w:cs="Times New Roman"/>
          <w:szCs w:val="28"/>
          <w:lang w:val="ru-RU"/>
        </w:rPr>
        <w:t>Законодательством как России, так и США предусмотрено несколько форм раскрытия информации, все многообразие которых служит цели информирования инвесторов как на регулярной, так и на нерегулярной основе,</w:t>
      </w:r>
      <w:r w:rsidR="00917621" w:rsidRPr="000160C5">
        <w:rPr>
          <w:rFonts w:cs="Times New Roman"/>
          <w:szCs w:val="28"/>
          <w:lang w:val="ru-RU"/>
        </w:rPr>
        <w:t xml:space="preserve"> в том числе </w:t>
      </w:r>
      <w:proofErr w:type="gramStart"/>
      <w:r w:rsidRPr="000160C5">
        <w:rPr>
          <w:rFonts w:cs="Times New Roman"/>
          <w:szCs w:val="28"/>
          <w:lang w:val="ru-RU"/>
        </w:rPr>
        <w:t>по</w:t>
      </w:r>
      <w:proofErr w:type="gramEnd"/>
      <w:r w:rsidRPr="000160C5">
        <w:rPr>
          <w:rFonts w:cs="Times New Roman"/>
          <w:szCs w:val="28"/>
          <w:lang w:val="ru-RU"/>
        </w:rPr>
        <w:t xml:space="preserve"> </w:t>
      </w:r>
      <w:proofErr w:type="gramStart"/>
      <w:r w:rsidRPr="000160C5">
        <w:rPr>
          <w:rFonts w:cs="Times New Roman"/>
          <w:szCs w:val="28"/>
          <w:lang w:val="ru-RU"/>
        </w:rPr>
        <w:t>наступлении</w:t>
      </w:r>
      <w:proofErr w:type="gramEnd"/>
      <w:r w:rsidRPr="000160C5">
        <w:rPr>
          <w:rFonts w:cs="Times New Roman"/>
          <w:szCs w:val="28"/>
          <w:lang w:val="ru-RU"/>
        </w:rPr>
        <w:t xml:space="preserve"> того или иного корпоративного события. Таким образом, многообразие форм раскрытия информации можно </w:t>
      </w:r>
      <w:r w:rsidR="00917621" w:rsidRPr="000160C5">
        <w:rPr>
          <w:rFonts w:cs="Times New Roman"/>
          <w:szCs w:val="28"/>
          <w:lang w:val="ru-RU"/>
        </w:rPr>
        <w:t xml:space="preserve">условно </w:t>
      </w:r>
      <w:r w:rsidRPr="000160C5">
        <w:rPr>
          <w:rFonts w:cs="Times New Roman"/>
          <w:szCs w:val="28"/>
          <w:lang w:val="ru-RU"/>
        </w:rPr>
        <w:t>поделить на две группы: периодическое и непер</w:t>
      </w:r>
      <w:r w:rsidR="000B5468" w:rsidRPr="000160C5">
        <w:rPr>
          <w:rFonts w:cs="Times New Roman"/>
          <w:szCs w:val="28"/>
          <w:lang w:val="ru-RU"/>
        </w:rPr>
        <w:t xml:space="preserve">иодическое раскрытие </w:t>
      </w:r>
      <w:proofErr w:type="gramStart"/>
      <w:r w:rsidR="000B5468" w:rsidRPr="000160C5">
        <w:rPr>
          <w:rFonts w:cs="Times New Roman"/>
          <w:szCs w:val="28"/>
          <w:lang w:val="ru-RU"/>
        </w:rPr>
        <w:t>информации</w:t>
      </w:r>
      <w:proofErr w:type="gramEnd"/>
      <w:r w:rsidR="000B5468" w:rsidRPr="000160C5">
        <w:rPr>
          <w:rFonts w:cs="Times New Roman"/>
          <w:szCs w:val="28"/>
          <w:lang w:val="ru-RU"/>
        </w:rPr>
        <w:t xml:space="preserve"> – о которых пойдет речь далее.</w:t>
      </w:r>
    </w:p>
    <w:p w:rsidR="004B082E" w:rsidRPr="000160C5" w:rsidRDefault="004B082E" w:rsidP="005901E8">
      <w:pPr>
        <w:pStyle w:val="3"/>
        <w:keepLines w:val="0"/>
        <w:widowControl w:val="0"/>
        <w:spacing w:before="0" w:line="360" w:lineRule="auto"/>
        <w:rPr>
          <w:rFonts w:cs="Times New Roman"/>
          <w:szCs w:val="28"/>
        </w:rPr>
      </w:pPr>
      <w:r w:rsidRPr="000160C5">
        <w:rPr>
          <w:rFonts w:cs="Times New Roman"/>
          <w:szCs w:val="28"/>
        </w:rPr>
        <w:tab/>
      </w:r>
      <w:bookmarkStart w:id="10" w:name="_Toc356162050"/>
      <w:r w:rsidR="00177507" w:rsidRPr="000160C5">
        <w:rPr>
          <w:rFonts w:cs="Times New Roman"/>
          <w:szCs w:val="28"/>
        </w:rPr>
        <w:t xml:space="preserve">§1.1 </w:t>
      </w:r>
      <w:r w:rsidR="000B5468" w:rsidRPr="000160C5">
        <w:rPr>
          <w:rFonts w:cs="Times New Roman"/>
          <w:szCs w:val="28"/>
        </w:rPr>
        <w:t>Периодическое раскрытие информации</w:t>
      </w:r>
      <w:bookmarkEnd w:id="10"/>
    </w:p>
    <w:p w:rsidR="00304702" w:rsidRPr="000160C5" w:rsidRDefault="00177507" w:rsidP="005901E8">
      <w:pPr>
        <w:pStyle w:val="TNR14"/>
        <w:keepNext/>
        <w:widowControl w:val="0"/>
        <w:rPr>
          <w:rFonts w:cs="Times New Roman"/>
          <w:szCs w:val="28"/>
          <w:lang w:val="ru-RU"/>
        </w:rPr>
      </w:pPr>
      <w:r w:rsidRPr="000160C5">
        <w:rPr>
          <w:rFonts w:cs="Times New Roman"/>
          <w:szCs w:val="28"/>
          <w:lang w:val="ru-RU"/>
        </w:rPr>
        <w:t>Основным</w:t>
      </w:r>
      <w:r w:rsidR="00E76FF2" w:rsidRPr="000160C5">
        <w:rPr>
          <w:rFonts w:cs="Times New Roman"/>
          <w:szCs w:val="28"/>
          <w:lang w:val="ru-RU"/>
        </w:rPr>
        <w:t>и</w:t>
      </w:r>
      <w:r w:rsidRPr="000160C5">
        <w:rPr>
          <w:rFonts w:cs="Times New Roman"/>
          <w:szCs w:val="28"/>
          <w:lang w:val="ru-RU"/>
        </w:rPr>
        <w:t xml:space="preserve"> </w:t>
      </w:r>
      <w:r w:rsidR="00E76FF2" w:rsidRPr="000160C5">
        <w:rPr>
          <w:rFonts w:cs="Times New Roman"/>
          <w:szCs w:val="28"/>
          <w:lang w:val="ru-RU"/>
        </w:rPr>
        <w:t xml:space="preserve">российскими </w:t>
      </w:r>
      <w:r w:rsidRPr="000160C5">
        <w:rPr>
          <w:rFonts w:cs="Times New Roman"/>
          <w:szCs w:val="28"/>
          <w:lang w:val="ru-RU"/>
        </w:rPr>
        <w:t>нормативным</w:t>
      </w:r>
      <w:r w:rsidR="00E76FF2" w:rsidRPr="000160C5">
        <w:rPr>
          <w:rFonts w:cs="Times New Roman"/>
          <w:szCs w:val="28"/>
          <w:lang w:val="ru-RU"/>
        </w:rPr>
        <w:t>и</w:t>
      </w:r>
      <w:r w:rsidRPr="000160C5">
        <w:rPr>
          <w:rFonts w:cs="Times New Roman"/>
          <w:szCs w:val="28"/>
          <w:lang w:val="ru-RU"/>
        </w:rPr>
        <w:t xml:space="preserve"> акт</w:t>
      </w:r>
      <w:r w:rsidR="00E76FF2" w:rsidRPr="000160C5">
        <w:rPr>
          <w:rFonts w:cs="Times New Roman"/>
          <w:szCs w:val="28"/>
          <w:lang w:val="ru-RU"/>
        </w:rPr>
        <w:t>а</w:t>
      </w:r>
      <w:r w:rsidRPr="000160C5">
        <w:rPr>
          <w:rFonts w:cs="Times New Roman"/>
          <w:szCs w:val="28"/>
          <w:lang w:val="ru-RU"/>
        </w:rPr>
        <w:t>м</w:t>
      </w:r>
      <w:r w:rsidR="00E76FF2" w:rsidRPr="000160C5">
        <w:rPr>
          <w:rFonts w:cs="Times New Roman"/>
          <w:szCs w:val="28"/>
          <w:lang w:val="ru-RU"/>
        </w:rPr>
        <w:t>и</w:t>
      </w:r>
      <w:r w:rsidRPr="000160C5">
        <w:rPr>
          <w:rFonts w:cs="Times New Roman"/>
          <w:szCs w:val="28"/>
          <w:lang w:val="ru-RU"/>
        </w:rPr>
        <w:t>, регулирующим</w:t>
      </w:r>
      <w:r w:rsidR="00E76FF2" w:rsidRPr="000160C5">
        <w:rPr>
          <w:rFonts w:cs="Times New Roman"/>
          <w:szCs w:val="28"/>
          <w:lang w:val="ru-RU"/>
        </w:rPr>
        <w:t>и, в том числе, вопрос формы раскрытия информации</w:t>
      </w:r>
      <w:r w:rsidR="00DC78A8" w:rsidRPr="000160C5">
        <w:rPr>
          <w:rFonts w:cs="Times New Roman"/>
          <w:szCs w:val="28"/>
          <w:lang w:val="ru-RU"/>
        </w:rPr>
        <w:t>,</w:t>
      </w:r>
      <w:r w:rsidR="00E76FF2" w:rsidRPr="000160C5">
        <w:rPr>
          <w:rFonts w:cs="Times New Roman"/>
          <w:szCs w:val="28"/>
          <w:lang w:val="ru-RU"/>
        </w:rPr>
        <w:t xml:space="preserve"> являются упомянутые </w:t>
      </w:r>
      <w:r w:rsidR="00E76FF2" w:rsidRPr="000160C5">
        <w:rPr>
          <w:rFonts w:cs="Times New Roman"/>
          <w:szCs w:val="28"/>
          <w:lang w:val="ru-RU"/>
        </w:rPr>
        <w:lastRenderedPageBreak/>
        <w:t xml:space="preserve">ранее Закон о РЦБ и </w:t>
      </w:r>
      <w:proofErr w:type="gramStart"/>
      <w:r w:rsidR="00E76FF2" w:rsidRPr="000160C5">
        <w:rPr>
          <w:rFonts w:cs="Times New Roman"/>
          <w:szCs w:val="28"/>
          <w:lang w:val="ru-RU"/>
        </w:rPr>
        <w:t>Положение</w:t>
      </w:r>
      <w:proofErr w:type="gramEnd"/>
      <w:r w:rsidR="00E76FF2" w:rsidRPr="000160C5">
        <w:rPr>
          <w:rFonts w:cs="Times New Roman"/>
          <w:szCs w:val="28"/>
          <w:lang w:val="ru-RU"/>
        </w:rPr>
        <w:t xml:space="preserve"> о раскрытии информации. Указанные </w:t>
      </w:r>
      <w:r w:rsidR="00DC78A8" w:rsidRPr="000160C5">
        <w:rPr>
          <w:rFonts w:cs="Times New Roman"/>
          <w:szCs w:val="28"/>
          <w:lang w:val="ru-RU"/>
        </w:rPr>
        <w:t>источники</w:t>
      </w:r>
      <w:r w:rsidR="00E76FF2" w:rsidRPr="000160C5">
        <w:rPr>
          <w:rFonts w:cs="Times New Roman"/>
          <w:szCs w:val="28"/>
          <w:lang w:val="ru-RU"/>
        </w:rPr>
        <w:t xml:space="preserve"> предусматривают следующие формы периодического раскрытия информации:</w:t>
      </w:r>
      <w:r w:rsidR="00304702" w:rsidRPr="000160C5">
        <w:rPr>
          <w:rFonts w:cs="Times New Roman"/>
          <w:szCs w:val="28"/>
          <w:lang w:val="ru-RU"/>
        </w:rPr>
        <w:t xml:space="preserve"> отчеты о деятельности эмитента (</w:t>
      </w:r>
      <w:proofErr w:type="gramStart"/>
      <w:r w:rsidR="00304702" w:rsidRPr="000160C5">
        <w:rPr>
          <w:rFonts w:cs="Times New Roman"/>
          <w:szCs w:val="28"/>
          <w:lang w:val="ru-RU"/>
        </w:rPr>
        <w:t>ежеквартальный</w:t>
      </w:r>
      <w:proofErr w:type="gramEnd"/>
      <w:r w:rsidR="00304702" w:rsidRPr="000160C5">
        <w:rPr>
          <w:rFonts w:cs="Times New Roman"/>
          <w:szCs w:val="28"/>
          <w:lang w:val="ru-RU"/>
        </w:rPr>
        <w:t xml:space="preserve"> и годовой отчеты эмитента), а также финансов</w:t>
      </w:r>
      <w:r w:rsidR="00D83E9E" w:rsidRPr="000160C5">
        <w:rPr>
          <w:rFonts w:cs="Times New Roman"/>
          <w:szCs w:val="28"/>
          <w:lang w:val="ru-RU"/>
        </w:rPr>
        <w:t>ая</w:t>
      </w:r>
      <w:r w:rsidR="00304702" w:rsidRPr="000160C5">
        <w:rPr>
          <w:rFonts w:cs="Times New Roman"/>
          <w:szCs w:val="28"/>
          <w:lang w:val="ru-RU"/>
        </w:rPr>
        <w:t xml:space="preserve"> документация (годовая и сводная бухгалтерская отчетность).</w:t>
      </w:r>
    </w:p>
    <w:p w:rsidR="00304702" w:rsidRPr="000160C5" w:rsidRDefault="003D0158" w:rsidP="005901E8">
      <w:pPr>
        <w:pStyle w:val="TNR14"/>
        <w:keepNext/>
        <w:widowControl w:val="0"/>
        <w:rPr>
          <w:rFonts w:cs="Times New Roman"/>
          <w:szCs w:val="28"/>
          <w:lang w:val="ru-RU"/>
        </w:rPr>
      </w:pPr>
      <w:r w:rsidRPr="000160C5">
        <w:rPr>
          <w:rFonts w:cs="Times New Roman"/>
          <w:szCs w:val="28"/>
          <w:lang w:val="ru-RU"/>
        </w:rPr>
        <w:t>Законодательство США о рынке ценных бумаг</w:t>
      </w:r>
      <w:r w:rsidR="00D83E9E" w:rsidRPr="000160C5">
        <w:rPr>
          <w:rFonts w:cs="Times New Roman"/>
          <w:szCs w:val="28"/>
          <w:lang w:val="ru-RU"/>
        </w:rPr>
        <w:t xml:space="preserve"> предусматривает следующие формы периодического раскрытия информации: годовые, квартальные</w:t>
      </w:r>
      <w:r w:rsidR="00AE1C1E" w:rsidRPr="000160C5">
        <w:rPr>
          <w:rFonts w:cs="Times New Roman"/>
          <w:szCs w:val="28"/>
          <w:lang w:val="ru-RU"/>
        </w:rPr>
        <w:t>, а также текущие</w:t>
      </w:r>
      <w:r w:rsidR="00D83E9E" w:rsidRPr="000160C5">
        <w:rPr>
          <w:rFonts w:cs="Times New Roman"/>
          <w:szCs w:val="28"/>
          <w:lang w:val="ru-RU"/>
        </w:rPr>
        <w:t xml:space="preserve"> отчеты. </w:t>
      </w:r>
      <w:r w:rsidR="001A27A8" w:rsidRPr="000160C5">
        <w:rPr>
          <w:rFonts w:cs="Times New Roman"/>
          <w:szCs w:val="28"/>
          <w:lang w:val="ru-RU"/>
        </w:rPr>
        <w:t>Далее будут рассмотрены соответствующие формы периодического раскрытия информации в России и США в сравнении</w:t>
      </w:r>
      <w:r w:rsidR="0011346D" w:rsidRPr="000160C5">
        <w:rPr>
          <w:rFonts w:cs="Times New Roman"/>
          <w:szCs w:val="28"/>
          <w:lang w:val="ru-RU"/>
        </w:rPr>
        <w:t xml:space="preserve"> с точки зрения определения той или иной формы раскрытия, субъектов, обязанных раскрывать информацию, содержания раскрываемой информации, а также порядка и сроков такого раскрытия</w:t>
      </w:r>
      <w:r w:rsidR="001A27A8" w:rsidRPr="000160C5">
        <w:rPr>
          <w:rFonts w:cs="Times New Roman"/>
          <w:szCs w:val="28"/>
          <w:lang w:val="ru-RU"/>
        </w:rPr>
        <w:t>.</w:t>
      </w:r>
    </w:p>
    <w:p w:rsidR="00AE1C1E" w:rsidRPr="000160C5" w:rsidRDefault="00AE1C1E" w:rsidP="005901E8">
      <w:pPr>
        <w:pStyle w:val="4"/>
        <w:keepLines w:val="0"/>
        <w:widowControl w:val="0"/>
        <w:numPr>
          <w:ilvl w:val="2"/>
          <w:numId w:val="4"/>
        </w:numPr>
        <w:spacing w:before="0"/>
        <w:rPr>
          <w:rFonts w:cs="Times New Roman"/>
          <w:szCs w:val="28"/>
        </w:rPr>
      </w:pPr>
      <w:r w:rsidRPr="000160C5">
        <w:rPr>
          <w:rFonts w:cs="Times New Roman"/>
          <w:szCs w:val="28"/>
        </w:rPr>
        <w:t xml:space="preserve">Годовой отчет эмитента </w:t>
      </w:r>
    </w:p>
    <w:p w:rsidR="00AE1C1E" w:rsidRPr="000160C5" w:rsidRDefault="001A27A8"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Годовой отчет </w:t>
      </w:r>
      <w:r w:rsidR="0057656B">
        <w:rPr>
          <w:rFonts w:ascii="Times New Roman" w:hAnsi="Times New Roman" w:cs="Times New Roman"/>
          <w:sz w:val="28"/>
          <w:szCs w:val="28"/>
        </w:rPr>
        <w:t xml:space="preserve">российского </w:t>
      </w:r>
      <w:r w:rsidRPr="000160C5">
        <w:rPr>
          <w:rFonts w:ascii="Times New Roman" w:hAnsi="Times New Roman" w:cs="Times New Roman"/>
          <w:sz w:val="28"/>
          <w:szCs w:val="28"/>
        </w:rPr>
        <w:t xml:space="preserve">эмитента является документом, </w:t>
      </w:r>
      <w:r w:rsidR="00A97BA8" w:rsidRPr="000160C5">
        <w:rPr>
          <w:rFonts w:ascii="Times New Roman" w:hAnsi="Times New Roman" w:cs="Times New Roman"/>
          <w:sz w:val="28"/>
          <w:szCs w:val="28"/>
        </w:rPr>
        <w:t>отражающим</w:t>
      </w:r>
      <w:r w:rsidRPr="000160C5">
        <w:rPr>
          <w:rFonts w:ascii="Times New Roman" w:hAnsi="Times New Roman" w:cs="Times New Roman"/>
          <w:sz w:val="28"/>
          <w:szCs w:val="28"/>
        </w:rPr>
        <w:t xml:space="preserve"> итог</w:t>
      </w:r>
      <w:r w:rsidR="00A97BA8" w:rsidRPr="000160C5">
        <w:rPr>
          <w:rFonts w:ascii="Times New Roman" w:hAnsi="Times New Roman" w:cs="Times New Roman"/>
          <w:sz w:val="28"/>
          <w:szCs w:val="28"/>
        </w:rPr>
        <w:t>и</w:t>
      </w:r>
      <w:r w:rsidRPr="000160C5">
        <w:rPr>
          <w:rFonts w:ascii="Times New Roman" w:hAnsi="Times New Roman" w:cs="Times New Roman"/>
          <w:sz w:val="28"/>
          <w:szCs w:val="28"/>
        </w:rPr>
        <w:t xml:space="preserve"> деятельности компании за </w:t>
      </w:r>
      <w:r w:rsidR="00590151" w:rsidRPr="000160C5">
        <w:rPr>
          <w:rFonts w:ascii="Times New Roman" w:hAnsi="Times New Roman" w:cs="Times New Roman"/>
          <w:sz w:val="28"/>
          <w:szCs w:val="28"/>
        </w:rPr>
        <w:t xml:space="preserve">прошедший финансовый </w:t>
      </w:r>
      <w:r w:rsidRPr="000160C5">
        <w:rPr>
          <w:rFonts w:ascii="Times New Roman" w:hAnsi="Times New Roman" w:cs="Times New Roman"/>
          <w:sz w:val="28"/>
          <w:szCs w:val="28"/>
        </w:rPr>
        <w:t xml:space="preserve">год. </w:t>
      </w:r>
      <w:proofErr w:type="gramStart"/>
      <w:r w:rsidR="0058333B">
        <w:rPr>
          <w:rFonts w:ascii="Times New Roman" w:hAnsi="Times New Roman" w:cs="Times New Roman"/>
          <w:sz w:val="28"/>
          <w:szCs w:val="28"/>
        </w:rPr>
        <w:t>В рамках утверждения г</w:t>
      </w:r>
      <w:r w:rsidR="00590151" w:rsidRPr="000160C5">
        <w:rPr>
          <w:rFonts w:ascii="Times New Roman" w:hAnsi="Times New Roman" w:cs="Times New Roman"/>
          <w:sz w:val="28"/>
          <w:szCs w:val="28"/>
        </w:rPr>
        <w:t>одово</w:t>
      </w:r>
      <w:r w:rsidR="0058333B">
        <w:rPr>
          <w:rFonts w:ascii="Times New Roman" w:hAnsi="Times New Roman" w:cs="Times New Roman"/>
          <w:sz w:val="28"/>
          <w:szCs w:val="28"/>
        </w:rPr>
        <w:t>го</w:t>
      </w:r>
      <w:r w:rsidR="00590151" w:rsidRPr="000160C5">
        <w:rPr>
          <w:rFonts w:ascii="Times New Roman" w:hAnsi="Times New Roman" w:cs="Times New Roman"/>
          <w:sz w:val="28"/>
          <w:szCs w:val="28"/>
        </w:rPr>
        <w:t xml:space="preserve"> отчет</w:t>
      </w:r>
      <w:r w:rsidR="0058333B">
        <w:rPr>
          <w:rFonts w:ascii="Times New Roman" w:hAnsi="Times New Roman" w:cs="Times New Roman"/>
          <w:sz w:val="28"/>
          <w:szCs w:val="28"/>
        </w:rPr>
        <w:t>а</w:t>
      </w:r>
      <w:r w:rsidR="00590151" w:rsidRPr="000160C5">
        <w:rPr>
          <w:rFonts w:ascii="Times New Roman" w:hAnsi="Times New Roman" w:cs="Times New Roman"/>
          <w:sz w:val="28"/>
          <w:szCs w:val="28"/>
        </w:rPr>
        <w:t xml:space="preserve"> на общем собрании </w:t>
      </w:r>
      <w:r w:rsidR="0058333B">
        <w:rPr>
          <w:rFonts w:ascii="Times New Roman" w:hAnsi="Times New Roman" w:cs="Times New Roman"/>
          <w:sz w:val="28"/>
          <w:szCs w:val="28"/>
        </w:rPr>
        <w:t>акционеры обсуждают финансовые</w:t>
      </w:r>
      <w:r w:rsidR="00A97BA8" w:rsidRPr="000160C5">
        <w:rPr>
          <w:rFonts w:ascii="Times New Roman" w:hAnsi="Times New Roman" w:cs="Times New Roman"/>
          <w:sz w:val="28"/>
          <w:szCs w:val="28"/>
        </w:rPr>
        <w:t xml:space="preserve"> показател</w:t>
      </w:r>
      <w:r w:rsidR="0058333B">
        <w:rPr>
          <w:rFonts w:ascii="Times New Roman" w:hAnsi="Times New Roman" w:cs="Times New Roman"/>
          <w:sz w:val="28"/>
          <w:szCs w:val="28"/>
        </w:rPr>
        <w:t>и</w:t>
      </w:r>
      <w:r w:rsidR="00590151" w:rsidRPr="000160C5">
        <w:rPr>
          <w:rFonts w:ascii="Times New Roman" w:hAnsi="Times New Roman" w:cs="Times New Roman"/>
          <w:sz w:val="28"/>
          <w:szCs w:val="28"/>
        </w:rPr>
        <w:t xml:space="preserve"> и перспектив</w:t>
      </w:r>
      <w:r w:rsidR="0058333B">
        <w:rPr>
          <w:rFonts w:ascii="Times New Roman" w:hAnsi="Times New Roman" w:cs="Times New Roman"/>
          <w:sz w:val="28"/>
          <w:szCs w:val="28"/>
        </w:rPr>
        <w:t>ы</w:t>
      </w:r>
      <w:r w:rsidR="00590151" w:rsidRPr="000160C5">
        <w:rPr>
          <w:rFonts w:ascii="Times New Roman" w:hAnsi="Times New Roman" w:cs="Times New Roman"/>
          <w:sz w:val="28"/>
          <w:szCs w:val="28"/>
        </w:rPr>
        <w:t xml:space="preserve"> деятельности акционерного общества, а также </w:t>
      </w:r>
      <w:r w:rsidR="0058333B">
        <w:rPr>
          <w:rFonts w:ascii="Times New Roman" w:hAnsi="Times New Roman" w:cs="Times New Roman"/>
          <w:sz w:val="28"/>
          <w:szCs w:val="28"/>
        </w:rPr>
        <w:t>оценивают</w:t>
      </w:r>
      <w:r w:rsidR="00590151" w:rsidRPr="000160C5">
        <w:rPr>
          <w:rFonts w:ascii="Times New Roman" w:hAnsi="Times New Roman" w:cs="Times New Roman"/>
          <w:sz w:val="28"/>
          <w:szCs w:val="28"/>
        </w:rPr>
        <w:t xml:space="preserve"> существующ</w:t>
      </w:r>
      <w:r w:rsidR="0058333B">
        <w:rPr>
          <w:rFonts w:ascii="Times New Roman" w:hAnsi="Times New Roman" w:cs="Times New Roman"/>
          <w:sz w:val="28"/>
          <w:szCs w:val="28"/>
        </w:rPr>
        <w:t>ий</w:t>
      </w:r>
      <w:r w:rsidR="00590151" w:rsidRPr="000160C5">
        <w:rPr>
          <w:rFonts w:ascii="Times New Roman" w:hAnsi="Times New Roman" w:cs="Times New Roman"/>
          <w:sz w:val="28"/>
          <w:szCs w:val="28"/>
        </w:rPr>
        <w:t xml:space="preserve"> поряд</w:t>
      </w:r>
      <w:r w:rsidR="0058333B">
        <w:rPr>
          <w:rFonts w:ascii="Times New Roman" w:hAnsi="Times New Roman" w:cs="Times New Roman"/>
          <w:sz w:val="28"/>
          <w:szCs w:val="28"/>
        </w:rPr>
        <w:t>ок</w:t>
      </w:r>
      <w:r w:rsidR="00590151" w:rsidRPr="000160C5">
        <w:rPr>
          <w:rFonts w:ascii="Times New Roman" w:hAnsi="Times New Roman" w:cs="Times New Roman"/>
          <w:sz w:val="28"/>
          <w:szCs w:val="28"/>
        </w:rPr>
        <w:t xml:space="preserve"> управления </w:t>
      </w:r>
      <w:r w:rsidR="00A97BA8" w:rsidRPr="000160C5">
        <w:rPr>
          <w:rFonts w:ascii="Times New Roman" w:hAnsi="Times New Roman" w:cs="Times New Roman"/>
          <w:sz w:val="28"/>
          <w:szCs w:val="28"/>
        </w:rPr>
        <w:t>компанией</w:t>
      </w:r>
      <w:r w:rsidR="00590151" w:rsidRPr="000160C5">
        <w:rPr>
          <w:rFonts w:ascii="Times New Roman" w:hAnsi="Times New Roman" w:cs="Times New Roman"/>
          <w:sz w:val="28"/>
          <w:szCs w:val="28"/>
        </w:rPr>
        <w:t xml:space="preserve"> и </w:t>
      </w:r>
      <w:r w:rsidR="00A97BA8" w:rsidRPr="000160C5">
        <w:rPr>
          <w:rFonts w:ascii="Times New Roman" w:hAnsi="Times New Roman" w:cs="Times New Roman"/>
          <w:sz w:val="28"/>
          <w:szCs w:val="28"/>
        </w:rPr>
        <w:t>реализуемой</w:t>
      </w:r>
      <w:r w:rsidR="00590151" w:rsidRPr="000160C5">
        <w:rPr>
          <w:rFonts w:ascii="Times New Roman" w:hAnsi="Times New Roman" w:cs="Times New Roman"/>
          <w:sz w:val="28"/>
          <w:szCs w:val="28"/>
        </w:rPr>
        <w:t xml:space="preserve"> советом директоров (наблюдательным советом) и исполнительными орга</w:t>
      </w:r>
      <w:r w:rsidR="00A97BA8" w:rsidRPr="000160C5">
        <w:rPr>
          <w:rFonts w:ascii="Times New Roman" w:hAnsi="Times New Roman" w:cs="Times New Roman"/>
          <w:sz w:val="28"/>
          <w:szCs w:val="28"/>
        </w:rPr>
        <w:t>нами политики</w:t>
      </w:r>
      <w:r w:rsidR="00590151" w:rsidRPr="000160C5">
        <w:rPr>
          <w:rStyle w:val="a9"/>
          <w:rFonts w:ascii="Times New Roman" w:hAnsi="Times New Roman" w:cs="Times New Roman"/>
          <w:sz w:val="28"/>
          <w:szCs w:val="28"/>
        </w:rPr>
        <w:footnoteReference w:id="30"/>
      </w:r>
      <w:r w:rsidR="00590151" w:rsidRPr="000160C5">
        <w:rPr>
          <w:rFonts w:ascii="Times New Roman" w:hAnsi="Times New Roman" w:cs="Times New Roman"/>
          <w:sz w:val="28"/>
          <w:szCs w:val="28"/>
        </w:rPr>
        <w:t xml:space="preserve">. </w:t>
      </w:r>
      <w:r w:rsidRPr="000160C5">
        <w:rPr>
          <w:rFonts w:ascii="Times New Roman" w:hAnsi="Times New Roman" w:cs="Times New Roman"/>
          <w:sz w:val="28"/>
          <w:szCs w:val="28"/>
        </w:rPr>
        <w:t>Помимо форм установленной бухгалтерской отчетности, годовой отчет обычно сопровождается аналитической запиской, в которой указываются причины отдельных неудач, источники происхождения и расходования средств, пути развития бизнеса</w:t>
      </w:r>
      <w:r w:rsidR="00A97BA8" w:rsidRPr="000160C5">
        <w:rPr>
          <w:rFonts w:ascii="Times New Roman" w:hAnsi="Times New Roman" w:cs="Times New Roman"/>
          <w:sz w:val="28"/>
          <w:szCs w:val="28"/>
        </w:rPr>
        <w:t xml:space="preserve"> и</w:t>
      </w:r>
      <w:proofErr w:type="gramEnd"/>
      <w:r w:rsidR="00A97BA8" w:rsidRPr="000160C5">
        <w:rPr>
          <w:rFonts w:ascii="Times New Roman" w:hAnsi="Times New Roman" w:cs="Times New Roman"/>
          <w:sz w:val="28"/>
          <w:szCs w:val="28"/>
        </w:rPr>
        <w:t xml:space="preserve"> т.п.</w:t>
      </w:r>
      <w:r w:rsidRPr="000160C5">
        <w:rPr>
          <w:rStyle w:val="a9"/>
          <w:rFonts w:ascii="Times New Roman" w:hAnsi="Times New Roman" w:cs="Times New Roman"/>
          <w:sz w:val="28"/>
          <w:szCs w:val="28"/>
        </w:rPr>
        <w:footnoteReference w:id="31"/>
      </w:r>
      <w:r w:rsidRPr="000160C5">
        <w:rPr>
          <w:rFonts w:ascii="Times New Roman" w:hAnsi="Times New Roman" w:cs="Times New Roman"/>
          <w:sz w:val="28"/>
          <w:szCs w:val="28"/>
        </w:rPr>
        <w:t xml:space="preserve">. </w:t>
      </w:r>
    </w:p>
    <w:p w:rsidR="00902052" w:rsidRPr="000160C5" w:rsidRDefault="0011346D" w:rsidP="005901E8">
      <w:pPr>
        <w:keepNext/>
        <w:widowControl w:val="0"/>
        <w:spacing w:after="0" w:line="360" w:lineRule="auto"/>
        <w:ind w:firstLine="709"/>
        <w:jc w:val="both"/>
        <w:rPr>
          <w:rFonts w:ascii="Times New Roman" w:hAnsi="Times New Roman" w:cs="Times New Roman"/>
          <w:sz w:val="28"/>
          <w:szCs w:val="28"/>
        </w:rPr>
      </w:pPr>
      <w:proofErr w:type="gramStart"/>
      <w:r w:rsidRPr="000160C5">
        <w:rPr>
          <w:rFonts w:ascii="Times New Roman" w:hAnsi="Times New Roman" w:cs="Times New Roman"/>
          <w:sz w:val="28"/>
          <w:szCs w:val="28"/>
        </w:rPr>
        <w:t>Что касается американского определения годового отчета, н</w:t>
      </w:r>
      <w:r w:rsidR="00902052" w:rsidRPr="000160C5">
        <w:rPr>
          <w:rFonts w:ascii="Times New Roman" w:hAnsi="Times New Roman" w:cs="Times New Roman"/>
          <w:sz w:val="28"/>
          <w:szCs w:val="28"/>
        </w:rPr>
        <w:t xml:space="preserve">а сайте Комиссии США </w:t>
      </w:r>
      <w:r w:rsidRPr="000160C5">
        <w:rPr>
          <w:rFonts w:ascii="Times New Roman" w:hAnsi="Times New Roman" w:cs="Times New Roman"/>
          <w:sz w:val="28"/>
          <w:szCs w:val="28"/>
        </w:rPr>
        <w:t>он определен следующим образом</w:t>
      </w:r>
      <w:r w:rsidR="00902052" w:rsidRPr="000160C5">
        <w:rPr>
          <w:rFonts w:ascii="Times New Roman" w:hAnsi="Times New Roman" w:cs="Times New Roman"/>
          <w:sz w:val="28"/>
          <w:szCs w:val="28"/>
        </w:rPr>
        <w:t>:</w:t>
      </w:r>
      <w:r w:rsidR="004D5547" w:rsidRPr="000160C5">
        <w:rPr>
          <w:rFonts w:ascii="Times New Roman" w:hAnsi="Times New Roman" w:cs="Times New Roman"/>
          <w:sz w:val="28"/>
          <w:szCs w:val="28"/>
        </w:rPr>
        <w:t xml:space="preserve"> документ, дающий исчерпывающее представление о бизнесе и финансовом положении эмитента, а также включающий финансовую отчетность, в отношении </w:t>
      </w:r>
      <w:r w:rsidR="004D5547" w:rsidRPr="000160C5">
        <w:rPr>
          <w:rFonts w:ascii="Times New Roman" w:hAnsi="Times New Roman" w:cs="Times New Roman"/>
          <w:sz w:val="28"/>
          <w:szCs w:val="28"/>
        </w:rPr>
        <w:lastRenderedPageBreak/>
        <w:t>которой был проведен аудит</w:t>
      </w:r>
      <w:r w:rsidR="00EC0CB5" w:rsidRPr="000160C5">
        <w:rPr>
          <w:rStyle w:val="a9"/>
          <w:rFonts w:ascii="Times New Roman" w:hAnsi="Times New Roman" w:cs="Times New Roman"/>
          <w:sz w:val="28"/>
          <w:szCs w:val="28"/>
        </w:rPr>
        <w:footnoteReference w:id="32"/>
      </w:r>
      <w:r w:rsidR="00D456D3" w:rsidRPr="000160C5">
        <w:rPr>
          <w:rFonts w:ascii="Times New Roman" w:hAnsi="Times New Roman" w:cs="Times New Roman"/>
          <w:sz w:val="28"/>
          <w:szCs w:val="28"/>
        </w:rPr>
        <w:t xml:space="preserve">. </w:t>
      </w:r>
      <w:r w:rsidRPr="000160C5">
        <w:rPr>
          <w:rFonts w:ascii="Times New Roman" w:hAnsi="Times New Roman" w:cs="Times New Roman"/>
          <w:sz w:val="28"/>
          <w:szCs w:val="28"/>
        </w:rPr>
        <w:t>Исходя из такого определения следует, что годовой отчета американского эмитента в противовес российскому является формой всестороннего и исчерпывающего раскрытия информации.</w:t>
      </w:r>
      <w:proofErr w:type="gramEnd"/>
    </w:p>
    <w:p w:rsidR="00EC0CB5" w:rsidRPr="000160C5" w:rsidRDefault="00B6356D"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b/>
          <w:sz w:val="28"/>
          <w:szCs w:val="28"/>
          <w:u w:val="single"/>
        </w:rPr>
        <w:t>Субъекты.</w:t>
      </w:r>
      <w:r w:rsidRPr="000160C5">
        <w:rPr>
          <w:rFonts w:ascii="Times New Roman" w:hAnsi="Times New Roman" w:cs="Times New Roman"/>
          <w:sz w:val="28"/>
          <w:szCs w:val="28"/>
        </w:rPr>
        <w:t xml:space="preserve"> </w:t>
      </w:r>
      <w:r w:rsidR="00EC0CB5" w:rsidRPr="000160C5">
        <w:rPr>
          <w:rFonts w:ascii="Times New Roman" w:hAnsi="Times New Roman" w:cs="Times New Roman"/>
          <w:sz w:val="28"/>
          <w:szCs w:val="28"/>
        </w:rPr>
        <w:t xml:space="preserve">В российском законодательстве годовой отчет обязателен для раскрытия акционерными обществами, так как это предусмотрено Законом об АО, а также Положением о раскрытии информации. </w:t>
      </w:r>
      <w:r w:rsidR="00EF5993" w:rsidRPr="000160C5">
        <w:rPr>
          <w:rFonts w:ascii="Times New Roman" w:hAnsi="Times New Roman" w:cs="Times New Roman"/>
          <w:sz w:val="28"/>
          <w:szCs w:val="28"/>
        </w:rPr>
        <w:t>ООО обязаны утверждать годовые отчеты на очередном общем собрании участников в соответствии со ст. 33,34 Закона об ООО.</w:t>
      </w:r>
      <w:r w:rsidR="00FA37D7" w:rsidRPr="000160C5">
        <w:rPr>
          <w:rFonts w:ascii="Times New Roman" w:hAnsi="Times New Roman" w:cs="Times New Roman"/>
          <w:sz w:val="28"/>
          <w:szCs w:val="28"/>
        </w:rPr>
        <w:t xml:space="preserve"> Однако</w:t>
      </w:r>
      <w:proofErr w:type="gramStart"/>
      <w:r w:rsidR="00FA37D7" w:rsidRPr="000160C5">
        <w:rPr>
          <w:rFonts w:ascii="Times New Roman" w:hAnsi="Times New Roman" w:cs="Times New Roman"/>
          <w:sz w:val="28"/>
          <w:szCs w:val="28"/>
        </w:rPr>
        <w:t>,</w:t>
      </w:r>
      <w:proofErr w:type="gramEnd"/>
      <w:r w:rsidR="00FA37D7" w:rsidRPr="000160C5">
        <w:rPr>
          <w:rFonts w:ascii="Times New Roman" w:hAnsi="Times New Roman" w:cs="Times New Roman"/>
          <w:sz w:val="28"/>
          <w:szCs w:val="28"/>
        </w:rPr>
        <w:t xml:space="preserve"> даже если ООО подпадает под обязательное раскрытие информации в связи с открытой подпиской на выпущенные ценные бумаги общества, например, на облигации, оно не обязано раскрывать информацию в форме годового отчета эмитен</w:t>
      </w:r>
      <w:r w:rsidR="000512D8" w:rsidRPr="000160C5">
        <w:rPr>
          <w:rFonts w:ascii="Times New Roman" w:hAnsi="Times New Roman" w:cs="Times New Roman"/>
          <w:sz w:val="28"/>
          <w:szCs w:val="28"/>
        </w:rPr>
        <w:t>та, так как такая форма раскрытия информации предусмотрена Положением только для акционерных обществ.</w:t>
      </w:r>
    </w:p>
    <w:p w:rsidR="00EC0CB5" w:rsidRPr="000160C5" w:rsidRDefault="00EC0CB5"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Законодательство США обязывает раскрывать информацию в форме годовых отчетов </w:t>
      </w:r>
      <w:r w:rsidR="0057656B">
        <w:rPr>
          <w:rFonts w:ascii="Times New Roman" w:hAnsi="Times New Roman" w:cs="Times New Roman"/>
          <w:sz w:val="28"/>
          <w:szCs w:val="28"/>
        </w:rPr>
        <w:t xml:space="preserve">тех  </w:t>
      </w:r>
      <w:r w:rsidR="00077E71" w:rsidRPr="000160C5">
        <w:rPr>
          <w:rFonts w:ascii="Times New Roman" w:hAnsi="Times New Roman" w:cs="Times New Roman"/>
          <w:sz w:val="28"/>
          <w:szCs w:val="28"/>
        </w:rPr>
        <w:t>эмитентов, ценные бумаги которых зарегистрированы в соответствии с Законом о ценных бумагах 1933 г.</w:t>
      </w:r>
      <w:r w:rsidR="00EF5993" w:rsidRPr="000160C5">
        <w:rPr>
          <w:rFonts w:ascii="Times New Roman" w:hAnsi="Times New Roman" w:cs="Times New Roman"/>
          <w:sz w:val="28"/>
          <w:szCs w:val="28"/>
        </w:rPr>
        <w:t>, то есть всех эмитентов ценных бумаг, кроме тех из них, которые освобождены от обязанности регистрировать ценные бумаги (см. выше).</w:t>
      </w:r>
    </w:p>
    <w:p w:rsidR="00FA37D7" w:rsidRPr="000160C5" w:rsidRDefault="00FA37D7" w:rsidP="005901E8">
      <w:pPr>
        <w:keepNext/>
        <w:widowControl w:val="0"/>
        <w:spacing w:after="0" w:line="360" w:lineRule="auto"/>
        <w:ind w:firstLine="709"/>
        <w:jc w:val="both"/>
        <w:rPr>
          <w:rFonts w:ascii="Times New Roman" w:hAnsi="Times New Roman" w:cs="Times New Roman"/>
          <w:sz w:val="28"/>
          <w:szCs w:val="28"/>
        </w:rPr>
      </w:pPr>
      <w:proofErr w:type="gramStart"/>
      <w:r w:rsidRPr="000160C5">
        <w:rPr>
          <w:rFonts w:ascii="Times New Roman" w:hAnsi="Times New Roman" w:cs="Times New Roman"/>
          <w:sz w:val="28"/>
          <w:szCs w:val="28"/>
        </w:rPr>
        <w:t>Таким образом, круг субъектов, обязанных раскрывать информацию в форме годового отчета, по американскому законодат</w:t>
      </w:r>
      <w:r w:rsidR="000512D8" w:rsidRPr="000160C5">
        <w:rPr>
          <w:rFonts w:ascii="Times New Roman" w:hAnsi="Times New Roman" w:cs="Times New Roman"/>
          <w:sz w:val="28"/>
          <w:szCs w:val="28"/>
        </w:rPr>
        <w:t>ельству шире, чем по российскому</w:t>
      </w:r>
      <w:r w:rsidRPr="000160C5">
        <w:rPr>
          <w:rFonts w:ascii="Times New Roman" w:hAnsi="Times New Roman" w:cs="Times New Roman"/>
          <w:sz w:val="28"/>
          <w:szCs w:val="28"/>
        </w:rPr>
        <w:t>.</w:t>
      </w:r>
      <w:proofErr w:type="gramEnd"/>
    </w:p>
    <w:p w:rsidR="00FA37D7" w:rsidRPr="000160C5" w:rsidRDefault="00BD09E0"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С точки зрения </w:t>
      </w:r>
      <w:r w:rsidRPr="000160C5">
        <w:rPr>
          <w:rFonts w:ascii="Times New Roman" w:hAnsi="Times New Roman" w:cs="Times New Roman"/>
          <w:b/>
          <w:sz w:val="28"/>
          <w:szCs w:val="28"/>
          <w:u w:val="single"/>
        </w:rPr>
        <w:t>содержания</w:t>
      </w:r>
      <w:r w:rsidRPr="000160C5">
        <w:rPr>
          <w:rFonts w:ascii="Times New Roman" w:hAnsi="Times New Roman" w:cs="Times New Roman"/>
          <w:sz w:val="28"/>
          <w:szCs w:val="28"/>
        </w:rPr>
        <w:t xml:space="preserve"> годового отчета стоит отметить, что российскими нормативными актами не установлена форма годового отчета, </w:t>
      </w:r>
      <w:r w:rsidR="000512D8" w:rsidRPr="000160C5">
        <w:rPr>
          <w:rFonts w:ascii="Times New Roman" w:hAnsi="Times New Roman" w:cs="Times New Roman"/>
          <w:sz w:val="28"/>
          <w:szCs w:val="28"/>
        </w:rPr>
        <w:t>обязательная</w:t>
      </w:r>
      <w:r w:rsidRPr="000160C5">
        <w:rPr>
          <w:rFonts w:ascii="Times New Roman" w:hAnsi="Times New Roman" w:cs="Times New Roman"/>
          <w:sz w:val="28"/>
          <w:szCs w:val="28"/>
        </w:rPr>
        <w:t xml:space="preserve"> для использования эмитентами, как это сделано в отношении иных форм раскрытия, например, ежеквартальных отчетов. В Положении о раскрытии информации приведен примерный перечень информации, который должен содержаться в годовом отчете. </w:t>
      </w:r>
    </w:p>
    <w:p w:rsidR="00A874D2" w:rsidRPr="000160C5" w:rsidRDefault="00A874D2"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lastRenderedPageBreak/>
        <w:t xml:space="preserve">Форма годового отчета эмитентов в США </w:t>
      </w:r>
      <w:r w:rsidR="00CB19E9" w:rsidRPr="000160C5">
        <w:rPr>
          <w:rFonts w:ascii="Times New Roman" w:hAnsi="Times New Roman" w:cs="Times New Roman"/>
          <w:sz w:val="28"/>
          <w:szCs w:val="28"/>
        </w:rPr>
        <w:t>утверждена Комиссией США</w:t>
      </w:r>
      <w:r w:rsidRPr="000160C5">
        <w:rPr>
          <w:rFonts w:ascii="Times New Roman" w:hAnsi="Times New Roman" w:cs="Times New Roman"/>
          <w:sz w:val="28"/>
          <w:szCs w:val="28"/>
        </w:rPr>
        <w:t xml:space="preserve"> и является обязательной для использования эмитентами</w:t>
      </w:r>
      <w:r w:rsidR="00B46EC8" w:rsidRPr="000160C5">
        <w:rPr>
          <w:rStyle w:val="a9"/>
          <w:rFonts w:ascii="Times New Roman" w:hAnsi="Times New Roman" w:cs="Times New Roman"/>
          <w:sz w:val="28"/>
          <w:szCs w:val="28"/>
        </w:rPr>
        <w:footnoteReference w:id="33"/>
      </w:r>
      <w:r w:rsidRPr="000160C5">
        <w:rPr>
          <w:rFonts w:ascii="Times New Roman" w:hAnsi="Times New Roman" w:cs="Times New Roman"/>
          <w:sz w:val="28"/>
          <w:szCs w:val="28"/>
        </w:rPr>
        <w:t xml:space="preserve">. </w:t>
      </w:r>
    </w:p>
    <w:p w:rsidR="002B14F2" w:rsidRPr="000160C5" w:rsidRDefault="002B14F2"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На основании проведенного сравнения содержания годового отчета эмитента по российскому и американскому законодательству (см. </w:t>
      </w:r>
      <w:hyperlink w:anchor="_Приложение_1._Сравнительная" w:history="1">
        <w:r w:rsidRPr="000160C5">
          <w:rPr>
            <w:rStyle w:val="aa"/>
            <w:rFonts w:ascii="Times New Roman" w:hAnsi="Times New Roman" w:cs="Times New Roman"/>
            <w:sz w:val="28"/>
            <w:szCs w:val="28"/>
          </w:rPr>
          <w:t xml:space="preserve">Приложение </w:t>
        </w:r>
        <w:r w:rsidR="00E90C23" w:rsidRPr="000160C5">
          <w:rPr>
            <w:rStyle w:val="aa"/>
            <w:rFonts w:ascii="Times New Roman" w:hAnsi="Times New Roman" w:cs="Times New Roman"/>
            <w:sz w:val="28"/>
            <w:szCs w:val="28"/>
          </w:rPr>
          <w:t>1</w:t>
        </w:r>
      </w:hyperlink>
      <w:r w:rsidRPr="000160C5">
        <w:rPr>
          <w:rFonts w:ascii="Times New Roman" w:hAnsi="Times New Roman" w:cs="Times New Roman"/>
          <w:sz w:val="28"/>
          <w:szCs w:val="28"/>
        </w:rPr>
        <w:t xml:space="preserve">) автором настоящей работы был сделан вывод о том, что российский годовой отчет эмитента содержит поверхностную информацию об итогах деятельности эмитента за финансовый год. </w:t>
      </w:r>
      <w:proofErr w:type="gramStart"/>
      <w:r w:rsidRPr="000160C5">
        <w:rPr>
          <w:rFonts w:ascii="Times New Roman" w:hAnsi="Times New Roman" w:cs="Times New Roman"/>
          <w:sz w:val="28"/>
          <w:szCs w:val="28"/>
        </w:rPr>
        <w:t>Американский годовой отчет эмитента является более содержательным с точки зрения информации, потенциально интересной для инвесторов, как-то: избранная финансовая информация, изложенная доступным для понимания инвесторов языком, отражающая прибыль и убытки эмитента, перечень активов, имеющих существенное для деятельности эмитента значение, сведения о текущих судебных и административных разбирательствах, существенно затрагивающих интересы эмитента, информация о существующих разногласиях с бухгалтером относительно стандартов ведения учета, подробная</w:t>
      </w:r>
      <w:proofErr w:type="gramEnd"/>
      <w:r w:rsidRPr="000160C5">
        <w:rPr>
          <w:rFonts w:ascii="Times New Roman" w:hAnsi="Times New Roman" w:cs="Times New Roman"/>
          <w:sz w:val="28"/>
          <w:szCs w:val="28"/>
        </w:rPr>
        <w:t xml:space="preserve"> информация о должностных лицах компании вплоть до судебных разбирательств, участниками которых  они являются, сведения о </w:t>
      </w:r>
      <w:proofErr w:type="spellStart"/>
      <w:r w:rsidRPr="000160C5">
        <w:rPr>
          <w:rFonts w:ascii="Times New Roman" w:hAnsi="Times New Roman" w:cs="Times New Roman"/>
          <w:sz w:val="28"/>
          <w:szCs w:val="28"/>
        </w:rPr>
        <w:t>бенефициарных</w:t>
      </w:r>
      <w:proofErr w:type="spellEnd"/>
      <w:r w:rsidRPr="000160C5">
        <w:rPr>
          <w:rFonts w:ascii="Times New Roman" w:hAnsi="Times New Roman" w:cs="Times New Roman"/>
          <w:sz w:val="28"/>
          <w:szCs w:val="28"/>
        </w:rPr>
        <w:t xml:space="preserve"> владельцах ценных бумаг и вероятности смены контроля, сведения об уплаченных внешним поставщикам аудиторских и налоговых услуг вознаграждениях и пр.</w:t>
      </w:r>
    </w:p>
    <w:p w:rsidR="00A874D2" w:rsidRPr="000160C5" w:rsidRDefault="00636ECB"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b/>
          <w:sz w:val="28"/>
          <w:szCs w:val="28"/>
          <w:u w:val="single"/>
        </w:rPr>
        <w:t>Порядок и сроки.</w:t>
      </w:r>
      <w:r w:rsidRPr="000160C5">
        <w:rPr>
          <w:rFonts w:ascii="Times New Roman" w:hAnsi="Times New Roman" w:cs="Times New Roman"/>
          <w:sz w:val="28"/>
          <w:szCs w:val="28"/>
        </w:rPr>
        <w:t xml:space="preserve"> Согласно Положению о раскрытии информации г</w:t>
      </w:r>
      <w:r w:rsidR="00B6356D" w:rsidRPr="000160C5">
        <w:rPr>
          <w:rFonts w:ascii="Times New Roman" w:hAnsi="Times New Roman" w:cs="Times New Roman"/>
          <w:sz w:val="28"/>
          <w:szCs w:val="28"/>
        </w:rPr>
        <w:t xml:space="preserve">одовой отчет эмитента </w:t>
      </w:r>
      <w:r w:rsidRPr="000160C5">
        <w:rPr>
          <w:rFonts w:ascii="Times New Roman" w:hAnsi="Times New Roman" w:cs="Times New Roman"/>
          <w:sz w:val="28"/>
          <w:szCs w:val="28"/>
        </w:rPr>
        <w:t xml:space="preserve">должен быть опубликован на странице в сети Интернет </w:t>
      </w:r>
      <w:r w:rsidR="00B6356D" w:rsidRPr="000160C5">
        <w:rPr>
          <w:rFonts w:ascii="Times New Roman" w:hAnsi="Times New Roman" w:cs="Times New Roman"/>
          <w:sz w:val="28"/>
          <w:szCs w:val="28"/>
        </w:rPr>
        <w:t xml:space="preserve"> </w:t>
      </w:r>
      <w:r w:rsidRPr="000160C5">
        <w:rPr>
          <w:rFonts w:ascii="Times New Roman" w:hAnsi="Times New Roman" w:cs="Times New Roman"/>
          <w:sz w:val="28"/>
          <w:szCs w:val="28"/>
        </w:rPr>
        <w:t xml:space="preserve">в срок не позднее </w:t>
      </w:r>
      <w:r w:rsidR="00E90C23" w:rsidRPr="000160C5">
        <w:rPr>
          <w:rFonts w:ascii="Times New Roman" w:hAnsi="Times New Roman" w:cs="Times New Roman"/>
          <w:sz w:val="28"/>
          <w:szCs w:val="28"/>
        </w:rPr>
        <w:t>двух</w:t>
      </w:r>
      <w:r w:rsidRPr="000160C5">
        <w:rPr>
          <w:rFonts w:ascii="Times New Roman" w:hAnsi="Times New Roman" w:cs="Times New Roman"/>
          <w:sz w:val="28"/>
          <w:szCs w:val="28"/>
        </w:rPr>
        <w:t xml:space="preserve"> дней </w:t>
      </w:r>
      <w:proofErr w:type="gramStart"/>
      <w:r w:rsidRPr="000160C5">
        <w:rPr>
          <w:rFonts w:ascii="Times New Roman" w:hAnsi="Times New Roman" w:cs="Times New Roman"/>
          <w:sz w:val="28"/>
          <w:szCs w:val="28"/>
        </w:rPr>
        <w:t>с даты составления</w:t>
      </w:r>
      <w:proofErr w:type="gramEnd"/>
      <w:r w:rsidRPr="000160C5">
        <w:rPr>
          <w:rFonts w:ascii="Times New Roman" w:hAnsi="Times New Roman" w:cs="Times New Roman"/>
          <w:sz w:val="28"/>
          <w:szCs w:val="28"/>
        </w:rPr>
        <w:t xml:space="preserve"> протокола (даты истечения установленного срока для составления протокола) общего собрания акционеров</w:t>
      </w:r>
      <w:r w:rsidR="00573EB4" w:rsidRPr="000160C5">
        <w:rPr>
          <w:rFonts w:ascii="Times New Roman" w:hAnsi="Times New Roman" w:cs="Times New Roman"/>
          <w:sz w:val="28"/>
          <w:szCs w:val="28"/>
        </w:rPr>
        <w:t xml:space="preserve"> (далее – ОСА)</w:t>
      </w:r>
      <w:r w:rsidRPr="000160C5">
        <w:rPr>
          <w:rFonts w:ascii="Times New Roman" w:hAnsi="Times New Roman" w:cs="Times New Roman"/>
          <w:sz w:val="28"/>
          <w:szCs w:val="28"/>
        </w:rPr>
        <w:t xml:space="preserve">, на котором </w:t>
      </w:r>
      <w:r w:rsidR="00E90C23" w:rsidRPr="000160C5">
        <w:rPr>
          <w:rFonts w:ascii="Times New Roman" w:hAnsi="Times New Roman" w:cs="Times New Roman"/>
          <w:sz w:val="28"/>
          <w:szCs w:val="28"/>
        </w:rPr>
        <w:t xml:space="preserve">было </w:t>
      </w:r>
      <w:r w:rsidRPr="000160C5">
        <w:rPr>
          <w:rFonts w:ascii="Times New Roman" w:hAnsi="Times New Roman" w:cs="Times New Roman"/>
          <w:sz w:val="28"/>
          <w:szCs w:val="28"/>
        </w:rPr>
        <w:t xml:space="preserve">принято решение об утверждении годового отчета акционерного общества. Законом об АО установлены сроки для проведения годового общего собрания акционеров, </w:t>
      </w:r>
      <w:r w:rsidRPr="000160C5">
        <w:rPr>
          <w:rFonts w:ascii="Times New Roman" w:hAnsi="Times New Roman" w:cs="Times New Roman"/>
          <w:sz w:val="28"/>
          <w:szCs w:val="28"/>
        </w:rPr>
        <w:lastRenderedPageBreak/>
        <w:t xml:space="preserve">одним из обязательных </w:t>
      </w:r>
      <w:proofErr w:type="gramStart"/>
      <w:r w:rsidRPr="000160C5">
        <w:rPr>
          <w:rFonts w:ascii="Times New Roman" w:hAnsi="Times New Roman" w:cs="Times New Roman"/>
          <w:sz w:val="28"/>
          <w:szCs w:val="28"/>
        </w:rPr>
        <w:t>вопросов</w:t>
      </w:r>
      <w:proofErr w:type="gramEnd"/>
      <w:r w:rsidRPr="000160C5">
        <w:rPr>
          <w:rFonts w:ascii="Times New Roman" w:hAnsi="Times New Roman" w:cs="Times New Roman"/>
          <w:sz w:val="28"/>
          <w:szCs w:val="28"/>
        </w:rPr>
        <w:t xml:space="preserve"> рассмотрения которого являет</w:t>
      </w:r>
      <w:r w:rsidR="00573EB4" w:rsidRPr="000160C5">
        <w:rPr>
          <w:rFonts w:ascii="Times New Roman" w:hAnsi="Times New Roman" w:cs="Times New Roman"/>
          <w:sz w:val="28"/>
          <w:szCs w:val="28"/>
        </w:rPr>
        <w:t xml:space="preserve">ся утверждение годового отчета: не ранее чем через два и не позднее чем через шесть месяцев после окончания финансового года, то есть в период с 01 марта по 30 июня </w:t>
      </w:r>
      <w:r w:rsidR="00E90C23" w:rsidRPr="000160C5">
        <w:rPr>
          <w:rFonts w:ascii="Times New Roman" w:hAnsi="Times New Roman" w:cs="Times New Roman"/>
          <w:sz w:val="28"/>
          <w:szCs w:val="28"/>
        </w:rPr>
        <w:t xml:space="preserve">каждого </w:t>
      </w:r>
      <w:r w:rsidR="00573EB4" w:rsidRPr="000160C5">
        <w:rPr>
          <w:rFonts w:ascii="Times New Roman" w:hAnsi="Times New Roman" w:cs="Times New Roman"/>
          <w:sz w:val="28"/>
          <w:szCs w:val="28"/>
        </w:rPr>
        <w:t xml:space="preserve">года. Протокол ОСА должен быть составлен не позднее трех рабочих дней после закрытия ОСА. Таким образом, </w:t>
      </w:r>
      <w:proofErr w:type="gramStart"/>
      <w:r w:rsidR="00573EB4" w:rsidRPr="000160C5">
        <w:rPr>
          <w:rFonts w:ascii="Times New Roman" w:hAnsi="Times New Roman" w:cs="Times New Roman"/>
          <w:sz w:val="28"/>
          <w:szCs w:val="28"/>
        </w:rPr>
        <w:t>с даты проведения</w:t>
      </w:r>
      <w:proofErr w:type="gramEnd"/>
      <w:r w:rsidR="00573EB4" w:rsidRPr="000160C5">
        <w:rPr>
          <w:rFonts w:ascii="Times New Roman" w:hAnsi="Times New Roman" w:cs="Times New Roman"/>
          <w:sz w:val="28"/>
          <w:szCs w:val="28"/>
        </w:rPr>
        <w:t xml:space="preserve"> ОСА, на котором был утвержден годовой отчет эмитента, и до момента опубликования текста годового отчета должно пройти не более </w:t>
      </w:r>
      <w:r w:rsidR="00E90C23" w:rsidRPr="000160C5">
        <w:rPr>
          <w:rFonts w:ascii="Times New Roman" w:hAnsi="Times New Roman" w:cs="Times New Roman"/>
          <w:sz w:val="28"/>
          <w:szCs w:val="28"/>
        </w:rPr>
        <w:t>трех</w:t>
      </w:r>
      <w:r w:rsidR="00573EB4" w:rsidRPr="000160C5">
        <w:rPr>
          <w:rFonts w:ascii="Times New Roman" w:hAnsi="Times New Roman" w:cs="Times New Roman"/>
          <w:sz w:val="28"/>
          <w:szCs w:val="28"/>
        </w:rPr>
        <w:t xml:space="preserve"> рабочих и </w:t>
      </w:r>
      <w:r w:rsidR="00E90C23" w:rsidRPr="000160C5">
        <w:rPr>
          <w:rFonts w:ascii="Times New Roman" w:hAnsi="Times New Roman" w:cs="Times New Roman"/>
          <w:sz w:val="28"/>
          <w:szCs w:val="28"/>
        </w:rPr>
        <w:t>двух</w:t>
      </w:r>
      <w:r w:rsidR="00573EB4" w:rsidRPr="000160C5">
        <w:rPr>
          <w:rFonts w:ascii="Times New Roman" w:hAnsi="Times New Roman" w:cs="Times New Roman"/>
          <w:sz w:val="28"/>
          <w:szCs w:val="28"/>
        </w:rPr>
        <w:t xml:space="preserve"> календарных  дней.</w:t>
      </w:r>
    </w:p>
    <w:p w:rsidR="00D467C3" w:rsidRPr="000160C5" w:rsidRDefault="00D467C3"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Годовой отчет подлежит предварительному утверждению совет</w:t>
      </w:r>
      <w:r w:rsidR="00E90C23" w:rsidRPr="000160C5">
        <w:rPr>
          <w:rFonts w:ascii="Times New Roman" w:hAnsi="Times New Roman" w:cs="Times New Roman"/>
          <w:sz w:val="28"/>
          <w:szCs w:val="28"/>
        </w:rPr>
        <w:t>ом</w:t>
      </w:r>
      <w:r w:rsidRPr="000160C5">
        <w:rPr>
          <w:rFonts w:ascii="Times New Roman" w:hAnsi="Times New Roman" w:cs="Times New Roman"/>
          <w:sz w:val="28"/>
          <w:szCs w:val="28"/>
        </w:rPr>
        <w:t xml:space="preserve"> директоров или единоличн</w:t>
      </w:r>
      <w:r w:rsidR="00E90C23" w:rsidRPr="000160C5">
        <w:rPr>
          <w:rFonts w:ascii="Times New Roman" w:hAnsi="Times New Roman" w:cs="Times New Roman"/>
          <w:sz w:val="28"/>
          <w:szCs w:val="28"/>
        </w:rPr>
        <w:t>ым</w:t>
      </w:r>
      <w:r w:rsidRPr="000160C5">
        <w:rPr>
          <w:rFonts w:ascii="Times New Roman" w:hAnsi="Times New Roman" w:cs="Times New Roman"/>
          <w:sz w:val="28"/>
          <w:szCs w:val="28"/>
        </w:rPr>
        <w:t xml:space="preserve"> исполнительн</w:t>
      </w:r>
      <w:r w:rsidR="00E90C23" w:rsidRPr="000160C5">
        <w:rPr>
          <w:rFonts w:ascii="Times New Roman" w:hAnsi="Times New Roman" w:cs="Times New Roman"/>
          <w:sz w:val="28"/>
          <w:szCs w:val="28"/>
        </w:rPr>
        <w:t>ым</w:t>
      </w:r>
      <w:r w:rsidRPr="000160C5">
        <w:rPr>
          <w:rFonts w:ascii="Times New Roman" w:hAnsi="Times New Roman" w:cs="Times New Roman"/>
          <w:sz w:val="28"/>
          <w:szCs w:val="28"/>
        </w:rPr>
        <w:t xml:space="preserve"> орган</w:t>
      </w:r>
      <w:r w:rsidR="00E90C23" w:rsidRPr="000160C5">
        <w:rPr>
          <w:rFonts w:ascii="Times New Roman" w:hAnsi="Times New Roman" w:cs="Times New Roman"/>
          <w:sz w:val="28"/>
          <w:szCs w:val="28"/>
        </w:rPr>
        <w:t>ом</w:t>
      </w:r>
      <w:r w:rsidRPr="000160C5">
        <w:rPr>
          <w:rFonts w:ascii="Times New Roman" w:hAnsi="Times New Roman" w:cs="Times New Roman"/>
          <w:sz w:val="28"/>
          <w:szCs w:val="28"/>
        </w:rPr>
        <w:t xml:space="preserve"> (далее – ЕИО) в случае отсутствия совета д</w:t>
      </w:r>
      <w:r w:rsidR="00E90C23" w:rsidRPr="000160C5">
        <w:rPr>
          <w:rFonts w:ascii="Times New Roman" w:hAnsi="Times New Roman" w:cs="Times New Roman"/>
          <w:sz w:val="28"/>
          <w:szCs w:val="28"/>
        </w:rPr>
        <w:t>иректоров. Кроме того,</w:t>
      </w:r>
      <w:r w:rsidRPr="000160C5">
        <w:rPr>
          <w:rFonts w:ascii="Times New Roman" w:hAnsi="Times New Roman" w:cs="Times New Roman"/>
          <w:sz w:val="28"/>
          <w:szCs w:val="28"/>
        </w:rPr>
        <w:t xml:space="preserve"> достоверность содержащихся в </w:t>
      </w:r>
      <w:r w:rsidR="00E90C23" w:rsidRPr="000160C5">
        <w:rPr>
          <w:rFonts w:ascii="Times New Roman" w:hAnsi="Times New Roman" w:cs="Times New Roman"/>
          <w:sz w:val="28"/>
          <w:szCs w:val="28"/>
        </w:rPr>
        <w:t>отчете</w:t>
      </w:r>
      <w:r w:rsidRPr="000160C5">
        <w:rPr>
          <w:rFonts w:ascii="Times New Roman" w:hAnsi="Times New Roman" w:cs="Times New Roman"/>
          <w:sz w:val="28"/>
          <w:szCs w:val="28"/>
        </w:rPr>
        <w:t xml:space="preserve"> данных должна быть подтверждена ревизионной комиссией. Годовой отчет подписывается ЕИО и главным бухгалтером</w:t>
      </w:r>
      <w:r w:rsidR="00E90C23" w:rsidRPr="000160C5">
        <w:rPr>
          <w:rFonts w:ascii="Times New Roman" w:hAnsi="Times New Roman" w:cs="Times New Roman"/>
          <w:sz w:val="28"/>
          <w:szCs w:val="28"/>
        </w:rPr>
        <w:t xml:space="preserve"> эмитента</w:t>
      </w:r>
      <w:r w:rsidRPr="000160C5">
        <w:rPr>
          <w:rFonts w:ascii="Times New Roman" w:hAnsi="Times New Roman" w:cs="Times New Roman"/>
          <w:sz w:val="28"/>
          <w:szCs w:val="28"/>
        </w:rPr>
        <w:t xml:space="preserve">. </w:t>
      </w:r>
    </w:p>
    <w:p w:rsidR="00074BB3" w:rsidRPr="000160C5" w:rsidRDefault="003D6D6D"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Американское законодательство требует раскрывать годовой отчет эмитента через </w:t>
      </w:r>
      <w:r w:rsidR="00A26665" w:rsidRPr="000160C5">
        <w:rPr>
          <w:rFonts w:ascii="Times New Roman" w:hAnsi="Times New Roman" w:cs="Times New Roman"/>
          <w:sz w:val="28"/>
          <w:szCs w:val="28"/>
        </w:rPr>
        <w:t xml:space="preserve">60, 75 или </w:t>
      </w:r>
      <w:r w:rsidRPr="000160C5">
        <w:rPr>
          <w:rFonts w:ascii="Times New Roman" w:hAnsi="Times New Roman" w:cs="Times New Roman"/>
          <w:sz w:val="28"/>
          <w:szCs w:val="28"/>
        </w:rPr>
        <w:t>90 дней после окончания финансового года</w:t>
      </w:r>
      <w:r w:rsidR="00A26665" w:rsidRPr="000160C5">
        <w:rPr>
          <w:rFonts w:ascii="Times New Roman" w:hAnsi="Times New Roman" w:cs="Times New Roman"/>
          <w:sz w:val="28"/>
          <w:szCs w:val="28"/>
        </w:rPr>
        <w:t xml:space="preserve"> в зависимости от типа эмитента (эмитенты, </w:t>
      </w:r>
      <w:r w:rsidR="00E90C23" w:rsidRPr="000160C5">
        <w:rPr>
          <w:rFonts w:ascii="Times New Roman" w:hAnsi="Times New Roman" w:cs="Times New Roman"/>
          <w:sz w:val="28"/>
          <w:szCs w:val="28"/>
        </w:rPr>
        <w:t xml:space="preserve">стоимость </w:t>
      </w:r>
      <w:r w:rsidR="00A26665" w:rsidRPr="000160C5">
        <w:rPr>
          <w:rFonts w:ascii="Times New Roman" w:hAnsi="Times New Roman" w:cs="Times New Roman"/>
          <w:sz w:val="28"/>
          <w:szCs w:val="28"/>
        </w:rPr>
        <w:t>обращающи</w:t>
      </w:r>
      <w:r w:rsidR="00E90C23" w:rsidRPr="000160C5">
        <w:rPr>
          <w:rFonts w:ascii="Times New Roman" w:hAnsi="Times New Roman" w:cs="Times New Roman"/>
          <w:sz w:val="28"/>
          <w:szCs w:val="28"/>
        </w:rPr>
        <w:t>х</w:t>
      </w:r>
      <w:r w:rsidR="00A26665" w:rsidRPr="000160C5">
        <w:rPr>
          <w:rFonts w:ascii="Times New Roman" w:hAnsi="Times New Roman" w:cs="Times New Roman"/>
          <w:sz w:val="28"/>
          <w:szCs w:val="28"/>
        </w:rPr>
        <w:t>ся ценны</w:t>
      </w:r>
      <w:r w:rsidR="00E90C23" w:rsidRPr="000160C5">
        <w:rPr>
          <w:rFonts w:ascii="Times New Roman" w:hAnsi="Times New Roman" w:cs="Times New Roman"/>
          <w:sz w:val="28"/>
          <w:szCs w:val="28"/>
        </w:rPr>
        <w:t>х бумаг которых превышае</w:t>
      </w:r>
      <w:r w:rsidR="00A26665" w:rsidRPr="000160C5">
        <w:rPr>
          <w:rFonts w:ascii="Times New Roman" w:hAnsi="Times New Roman" w:cs="Times New Roman"/>
          <w:sz w:val="28"/>
          <w:szCs w:val="28"/>
        </w:rPr>
        <w:t>т 700 миллионов долларов,</w:t>
      </w:r>
      <w:r w:rsidR="00E90C23" w:rsidRPr="000160C5">
        <w:rPr>
          <w:rFonts w:ascii="Times New Roman" w:hAnsi="Times New Roman" w:cs="Times New Roman"/>
          <w:sz w:val="28"/>
          <w:szCs w:val="28"/>
        </w:rPr>
        <w:t xml:space="preserve"> находится в диапазоне</w:t>
      </w:r>
      <w:r w:rsidR="00A26665" w:rsidRPr="000160C5">
        <w:rPr>
          <w:rFonts w:ascii="Times New Roman" w:hAnsi="Times New Roman" w:cs="Times New Roman"/>
          <w:sz w:val="28"/>
          <w:szCs w:val="28"/>
        </w:rPr>
        <w:t xml:space="preserve"> от 75 до 700 миллионов долларов и</w:t>
      </w:r>
      <w:r w:rsidR="00E90C23" w:rsidRPr="000160C5">
        <w:rPr>
          <w:rFonts w:ascii="Times New Roman" w:hAnsi="Times New Roman" w:cs="Times New Roman"/>
          <w:sz w:val="28"/>
          <w:szCs w:val="28"/>
        </w:rPr>
        <w:t>ли не превышае</w:t>
      </w:r>
      <w:r w:rsidR="00A26665" w:rsidRPr="000160C5">
        <w:rPr>
          <w:rFonts w:ascii="Times New Roman" w:hAnsi="Times New Roman" w:cs="Times New Roman"/>
          <w:sz w:val="28"/>
          <w:szCs w:val="28"/>
        </w:rPr>
        <w:t>т 75 миллионов долларов соответственно)</w:t>
      </w:r>
      <w:r w:rsidRPr="000160C5">
        <w:rPr>
          <w:rFonts w:ascii="Times New Roman" w:hAnsi="Times New Roman" w:cs="Times New Roman"/>
          <w:sz w:val="28"/>
          <w:szCs w:val="28"/>
        </w:rPr>
        <w:t xml:space="preserve">. </w:t>
      </w:r>
      <w:r w:rsidR="00E90C23" w:rsidRPr="000160C5">
        <w:rPr>
          <w:rFonts w:ascii="Times New Roman" w:hAnsi="Times New Roman" w:cs="Times New Roman"/>
          <w:sz w:val="28"/>
          <w:szCs w:val="28"/>
        </w:rPr>
        <w:t xml:space="preserve">Стоит отметить, что в США финансовый год организации устанавливается индивидуально </w:t>
      </w:r>
      <w:r w:rsidR="003B50D4" w:rsidRPr="000160C5">
        <w:rPr>
          <w:rFonts w:ascii="Times New Roman" w:hAnsi="Times New Roman" w:cs="Times New Roman"/>
          <w:sz w:val="28"/>
          <w:szCs w:val="28"/>
        </w:rPr>
        <w:t xml:space="preserve">самой организацией в отличие от российского финансового года, в </w:t>
      </w:r>
      <w:proofErr w:type="gramStart"/>
      <w:r w:rsidR="003B50D4" w:rsidRPr="000160C5">
        <w:rPr>
          <w:rFonts w:ascii="Times New Roman" w:hAnsi="Times New Roman" w:cs="Times New Roman"/>
          <w:sz w:val="28"/>
          <w:szCs w:val="28"/>
        </w:rPr>
        <w:t>связи</w:t>
      </w:r>
      <w:proofErr w:type="gramEnd"/>
      <w:r w:rsidR="003B50D4" w:rsidRPr="000160C5">
        <w:rPr>
          <w:rFonts w:ascii="Times New Roman" w:hAnsi="Times New Roman" w:cs="Times New Roman"/>
          <w:sz w:val="28"/>
          <w:szCs w:val="28"/>
        </w:rPr>
        <w:t xml:space="preserve"> с чем момент опубликования годового отчета американских эмитентов не является фиксированной и постоянной величиной. </w:t>
      </w:r>
    </w:p>
    <w:p w:rsidR="003554AC" w:rsidRPr="000160C5" w:rsidRDefault="003D6D6D"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Эмитент подает годовой отчет со всеми приложениями к нему в Комиссию США, и та публикует его в системе </w:t>
      </w:r>
      <w:r w:rsidR="0037292D" w:rsidRPr="000160C5">
        <w:rPr>
          <w:rFonts w:ascii="Times New Roman" w:hAnsi="Times New Roman" w:cs="Times New Roman"/>
          <w:sz w:val="28"/>
          <w:szCs w:val="28"/>
        </w:rPr>
        <w:t>электронного сбора, анализа и извлечения данных (</w:t>
      </w:r>
      <w:r w:rsidR="0037292D" w:rsidRPr="000160C5">
        <w:rPr>
          <w:rFonts w:ascii="Times New Roman" w:hAnsi="Times New Roman" w:cs="Times New Roman"/>
          <w:sz w:val="28"/>
          <w:szCs w:val="28"/>
          <w:lang w:val="en-US"/>
        </w:rPr>
        <w:t>Electronic</w:t>
      </w:r>
      <w:r w:rsidR="0037292D" w:rsidRPr="000160C5">
        <w:rPr>
          <w:rFonts w:ascii="Times New Roman" w:hAnsi="Times New Roman" w:cs="Times New Roman"/>
          <w:sz w:val="28"/>
          <w:szCs w:val="28"/>
        </w:rPr>
        <w:t xml:space="preserve"> </w:t>
      </w:r>
      <w:r w:rsidR="0037292D" w:rsidRPr="000160C5">
        <w:rPr>
          <w:rFonts w:ascii="Times New Roman" w:hAnsi="Times New Roman" w:cs="Times New Roman"/>
          <w:sz w:val="28"/>
          <w:szCs w:val="28"/>
          <w:lang w:val="en-US"/>
        </w:rPr>
        <w:t>Data</w:t>
      </w:r>
      <w:r w:rsidR="0037292D" w:rsidRPr="000160C5">
        <w:rPr>
          <w:rFonts w:ascii="Times New Roman" w:hAnsi="Times New Roman" w:cs="Times New Roman"/>
          <w:sz w:val="28"/>
          <w:szCs w:val="28"/>
        </w:rPr>
        <w:t xml:space="preserve"> </w:t>
      </w:r>
      <w:r w:rsidR="0037292D" w:rsidRPr="000160C5">
        <w:rPr>
          <w:rFonts w:ascii="Times New Roman" w:hAnsi="Times New Roman" w:cs="Times New Roman"/>
          <w:sz w:val="28"/>
          <w:szCs w:val="28"/>
          <w:lang w:val="en-US"/>
        </w:rPr>
        <w:t>Gathering</w:t>
      </w:r>
      <w:r w:rsidR="0037292D" w:rsidRPr="000160C5">
        <w:rPr>
          <w:rFonts w:ascii="Times New Roman" w:hAnsi="Times New Roman" w:cs="Times New Roman"/>
          <w:sz w:val="28"/>
          <w:szCs w:val="28"/>
        </w:rPr>
        <w:t xml:space="preserve">, </w:t>
      </w:r>
      <w:r w:rsidR="0037292D" w:rsidRPr="000160C5">
        <w:rPr>
          <w:rFonts w:ascii="Times New Roman" w:hAnsi="Times New Roman" w:cs="Times New Roman"/>
          <w:sz w:val="28"/>
          <w:szCs w:val="28"/>
          <w:lang w:val="en-US"/>
        </w:rPr>
        <w:t>Analysis</w:t>
      </w:r>
      <w:r w:rsidR="0037292D" w:rsidRPr="000160C5">
        <w:rPr>
          <w:rFonts w:ascii="Times New Roman" w:hAnsi="Times New Roman" w:cs="Times New Roman"/>
          <w:sz w:val="28"/>
          <w:szCs w:val="28"/>
        </w:rPr>
        <w:t xml:space="preserve"> </w:t>
      </w:r>
      <w:r w:rsidR="0037292D" w:rsidRPr="000160C5">
        <w:rPr>
          <w:rFonts w:ascii="Times New Roman" w:hAnsi="Times New Roman" w:cs="Times New Roman"/>
          <w:sz w:val="28"/>
          <w:szCs w:val="28"/>
          <w:lang w:val="en-US"/>
        </w:rPr>
        <w:t>and</w:t>
      </w:r>
      <w:r w:rsidR="0037292D" w:rsidRPr="000160C5">
        <w:rPr>
          <w:rFonts w:ascii="Times New Roman" w:hAnsi="Times New Roman" w:cs="Times New Roman"/>
          <w:sz w:val="28"/>
          <w:szCs w:val="28"/>
        </w:rPr>
        <w:t xml:space="preserve"> </w:t>
      </w:r>
      <w:proofErr w:type="spellStart"/>
      <w:r w:rsidR="0037292D" w:rsidRPr="000160C5">
        <w:rPr>
          <w:rFonts w:ascii="Times New Roman" w:hAnsi="Times New Roman" w:cs="Times New Roman"/>
          <w:sz w:val="28"/>
          <w:szCs w:val="28"/>
        </w:rPr>
        <w:t>Retrieval</w:t>
      </w:r>
      <w:proofErr w:type="spellEnd"/>
      <w:r w:rsidR="0037292D" w:rsidRPr="000160C5">
        <w:rPr>
          <w:rFonts w:ascii="Times New Roman" w:hAnsi="Times New Roman" w:cs="Times New Roman"/>
          <w:sz w:val="28"/>
          <w:szCs w:val="28"/>
        </w:rPr>
        <w:t xml:space="preserve"> </w:t>
      </w:r>
      <w:r w:rsidR="003B50D4" w:rsidRPr="000160C5">
        <w:rPr>
          <w:rFonts w:ascii="Times New Roman" w:hAnsi="Times New Roman" w:cs="Times New Roman"/>
          <w:sz w:val="28"/>
          <w:szCs w:val="28"/>
          <w:lang w:val="en-US"/>
        </w:rPr>
        <w:t>S</w:t>
      </w:r>
      <w:r w:rsidR="0037292D" w:rsidRPr="000160C5">
        <w:rPr>
          <w:rFonts w:ascii="Times New Roman" w:hAnsi="Times New Roman" w:cs="Times New Roman"/>
          <w:sz w:val="28"/>
          <w:szCs w:val="28"/>
          <w:lang w:val="en-US"/>
        </w:rPr>
        <w:t>ystem</w:t>
      </w:r>
      <w:r w:rsidR="0037292D" w:rsidRPr="000160C5">
        <w:rPr>
          <w:rFonts w:ascii="Times New Roman" w:hAnsi="Times New Roman" w:cs="Times New Roman"/>
          <w:sz w:val="28"/>
          <w:szCs w:val="28"/>
        </w:rPr>
        <w:t xml:space="preserve">, далее – система </w:t>
      </w:r>
      <w:r w:rsidR="0037292D" w:rsidRPr="000160C5">
        <w:rPr>
          <w:rFonts w:ascii="Times New Roman" w:hAnsi="Times New Roman" w:cs="Times New Roman"/>
          <w:sz w:val="28"/>
          <w:szCs w:val="28"/>
          <w:lang w:val="en-US"/>
        </w:rPr>
        <w:t>EDGAR</w:t>
      </w:r>
      <w:r w:rsidR="0037292D" w:rsidRPr="000160C5">
        <w:rPr>
          <w:rFonts w:ascii="Times New Roman" w:hAnsi="Times New Roman" w:cs="Times New Roman"/>
          <w:sz w:val="28"/>
          <w:szCs w:val="28"/>
        </w:rPr>
        <w:t xml:space="preserve">). </w:t>
      </w:r>
      <w:r w:rsidR="006B3F93" w:rsidRPr="000160C5">
        <w:rPr>
          <w:rFonts w:ascii="Times New Roman" w:hAnsi="Times New Roman" w:cs="Times New Roman"/>
          <w:sz w:val="28"/>
          <w:szCs w:val="28"/>
        </w:rPr>
        <w:t xml:space="preserve">Одновременно с подачей в Комиссию США эмитент обязан подать годовой отчет </w:t>
      </w:r>
      <w:r w:rsidR="003B50D4" w:rsidRPr="000160C5">
        <w:rPr>
          <w:rFonts w:ascii="Times New Roman" w:hAnsi="Times New Roman" w:cs="Times New Roman"/>
          <w:sz w:val="28"/>
          <w:szCs w:val="28"/>
        </w:rPr>
        <w:t>на</w:t>
      </w:r>
      <w:r w:rsidR="006B3F93" w:rsidRPr="000160C5">
        <w:rPr>
          <w:rFonts w:ascii="Times New Roman" w:hAnsi="Times New Roman" w:cs="Times New Roman"/>
          <w:sz w:val="28"/>
          <w:szCs w:val="28"/>
        </w:rPr>
        <w:t xml:space="preserve"> ту фондовую биржу, на которой обращаются ценные бумаги эмитента. </w:t>
      </w:r>
      <w:r w:rsidR="001560A6" w:rsidRPr="000160C5">
        <w:rPr>
          <w:rFonts w:ascii="Times New Roman" w:hAnsi="Times New Roman" w:cs="Times New Roman"/>
          <w:sz w:val="28"/>
          <w:szCs w:val="28"/>
        </w:rPr>
        <w:t xml:space="preserve">Годовой отчет эмитента должен быть </w:t>
      </w:r>
      <w:r w:rsidR="001560A6" w:rsidRPr="000160C5">
        <w:rPr>
          <w:rFonts w:ascii="Times New Roman" w:hAnsi="Times New Roman" w:cs="Times New Roman"/>
          <w:sz w:val="28"/>
          <w:szCs w:val="28"/>
        </w:rPr>
        <w:lastRenderedPageBreak/>
        <w:t>подписан основным должностным лицом</w:t>
      </w:r>
      <w:r w:rsidR="003B50D4" w:rsidRPr="000160C5">
        <w:rPr>
          <w:rFonts w:ascii="Times New Roman" w:hAnsi="Times New Roman" w:cs="Times New Roman"/>
          <w:sz w:val="28"/>
          <w:szCs w:val="28"/>
        </w:rPr>
        <w:t xml:space="preserve"> (</w:t>
      </w:r>
      <w:r w:rsidR="003B50D4" w:rsidRPr="000160C5">
        <w:rPr>
          <w:rFonts w:ascii="Times New Roman" w:hAnsi="Times New Roman" w:cs="Times New Roman"/>
          <w:sz w:val="28"/>
          <w:szCs w:val="28"/>
          <w:lang w:val="en-US"/>
        </w:rPr>
        <w:t>Chief</w:t>
      </w:r>
      <w:r w:rsidR="003B50D4" w:rsidRPr="000160C5">
        <w:rPr>
          <w:rFonts w:ascii="Times New Roman" w:hAnsi="Times New Roman" w:cs="Times New Roman"/>
          <w:sz w:val="28"/>
          <w:szCs w:val="28"/>
        </w:rPr>
        <w:t xml:space="preserve"> </w:t>
      </w:r>
      <w:r w:rsidR="003B50D4" w:rsidRPr="000160C5">
        <w:rPr>
          <w:rFonts w:ascii="Times New Roman" w:hAnsi="Times New Roman" w:cs="Times New Roman"/>
          <w:sz w:val="28"/>
          <w:szCs w:val="28"/>
          <w:lang w:val="en-US"/>
        </w:rPr>
        <w:t>Executive</w:t>
      </w:r>
      <w:r w:rsidR="003B50D4" w:rsidRPr="000160C5">
        <w:rPr>
          <w:rFonts w:ascii="Times New Roman" w:hAnsi="Times New Roman" w:cs="Times New Roman"/>
          <w:sz w:val="28"/>
          <w:szCs w:val="28"/>
        </w:rPr>
        <w:t xml:space="preserve"> </w:t>
      </w:r>
      <w:r w:rsidR="003B50D4" w:rsidRPr="000160C5">
        <w:rPr>
          <w:rFonts w:ascii="Times New Roman" w:hAnsi="Times New Roman" w:cs="Times New Roman"/>
          <w:sz w:val="28"/>
          <w:szCs w:val="28"/>
          <w:lang w:val="en-US"/>
        </w:rPr>
        <w:t>Officer</w:t>
      </w:r>
      <w:r w:rsidR="003B50D4" w:rsidRPr="000160C5">
        <w:rPr>
          <w:rFonts w:ascii="Times New Roman" w:hAnsi="Times New Roman" w:cs="Times New Roman"/>
          <w:sz w:val="28"/>
          <w:szCs w:val="28"/>
        </w:rPr>
        <w:t>)</w:t>
      </w:r>
      <w:r w:rsidR="001560A6" w:rsidRPr="000160C5">
        <w:rPr>
          <w:rFonts w:ascii="Times New Roman" w:hAnsi="Times New Roman" w:cs="Times New Roman"/>
          <w:sz w:val="28"/>
          <w:szCs w:val="28"/>
        </w:rPr>
        <w:t xml:space="preserve"> и основным финансовым должностным лицом</w:t>
      </w:r>
      <w:r w:rsidR="003B50D4" w:rsidRPr="000160C5">
        <w:rPr>
          <w:rFonts w:ascii="Times New Roman" w:hAnsi="Times New Roman" w:cs="Times New Roman"/>
          <w:sz w:val="28"/>
          <w:szCs w:val="28"/>
        </w:rPr>
        <w:t xml:space="preserve"> (</w:t>
      </w:r>
      <w:r w:rsidR="003B50D4" w:rsidRPr="000160C5">
        <w:rPr>
          <w:rFonts w:ascii="Times New Roman" w:hAnsi="Times New Roman" w:cs="Times New Roman"/>
          <w:sz w:val="28"/>
          <w:szCs w:val="28"/>
          <w:lang w:val="en-US"/>
        </w:rPr>
        <w:t>Chief</w:t>
      </w:r>
      <w:r w:rsidR="003B50D4" w:rsidRPr="000160C5">
        <w:rPr>
          <w:rFonts w:ascii="Times New Roman" w:hAnsi="Times New Roman" w:cs="Times New Roman"/>
          <w:sz w:val="28"/>
          <w:szCs w:val="28"/>
        </w:rPr>
        <w:t xml:space="preserve"> </w:t>
      </w:r>
      <w:r w:rsidR="003B50D4" w:rsidRPr="000160C5">
        <w:rPr>
          <w:rFonts w:ascii="Times New Roman" w:hAnsi="Times New Roman" w:cs="Times New Roman"/>
          <w:sz w:val="28"/>
          <w:szCs w:val="28"/>
          <w:lang w:val="en-US"/>
        </w:rPr>
        <w:t>Financial</w:t>
      </w:r>
      <w:r w:rsidR="003B50D4" w:rsidRPr="000160C5">
        <w:rPr>
          <w:rFonts w:ascii="Times New Roman" w:hAnsi="Times New Roman" w:cs="Times New Roman"/>
          <w:sz w:val="28"/>
          <w:szCs w:val="28"/>
        </w:rPr>
        <w:t xml:space="preserve"> </w:t>
      </w:r>
      <w:r w:rsidR="003B50D4" w:rsidRPr="000160C5">
        <w:rPr>
          <w:rFonts w:ascii="Times New Roman" w:hAnsi="Times New Roman" w:cs="Times New Roman"/>
          <w:sz w:val="28"/>
          <w:szCs w:val="28"/>
          <w:lang w:val="en-US"/>
        </w:rPr>
        <w:t>Officer</w:t>
      </w:r>
      <w:r w:rsidR="003B50D4" w:rsidRPr="000160C5">
        <w:rPr>
          <w:rFonts w:ascii="Times New Roman" w:hAnsi="Times New Roman" w:cs="Times New Roman"/>
          <w:sz w:val="28"/>
          <w:szCs w:val="28"/>
        </w:rPr>
        <w:t>)</w:t>
      </w:r>
      <w:r w:rsidR="001560A6" w:rsidRPr="000160C5">
        <w:rPr>
          <w:rFonts w:ascii="Times New Roman" w:hAnsi="Times New Roman" w:cs="Times New Roman"/>
          <w:sz w:val="28"/>
          <w:szCs w:val="28"/>
        </w:rPr>
        <w:t xml:space="preserve"> эмитента, а также большинством состава совета директоров</w:t>
      </w:r>
      <w:r w:rsidR="0084398D" w:rsidRPr="000160C5">
        <w:rPr>
          <w:rFonts w:ascii="Times New Roman" w:hAnsi="Times New Roman" w:cs="Times New Roman"/>
          <w:sz w:val="28"/>
          <w:szCs w:val="28"/>
        </w:rPr>
        <w:t>.</w:t>
      </w:r>
    </w:p>
    <w:p w:rsidR="0084398D" w:rsidRPr="000160C5" w:rsidRDefault="0084398D" w:rsidP="005901E8">
      <w:pPr>
        <w:keepNext/>
        <w:widowControl w:val="0"/>
        <w:spacing w:after="0" w:line="360" w:lineRule="auto"/>
        <w:ind w:firstLine="709"/>
        <w:jc w:val="both"/>
        <w:rPr>
          <w:rFonts w:ascii="Times New Roman" w:hAnsi="Times New Roman" w:cs="Times New Roman"/>
          <w:sz w:val="28"/>
          <w:szCs w:val="28"/>
        </w:rPr>
      </w:pPr>
      <w:proofErr w:type="gramStart"/>
      <w:r w:rsidRPr="000160C5">
        <w:rPr>
          <w:rFonts w:ascii="Times New Roman" w:hAnsi="Times New Roman" w:cs="Times New Roman"/>
          <w:sz w:val="28"/>
          <w:szCs w:val="28"/>
        </w:rPr>
        <w:t xml:space="preserve">Таким образом, </w:t>
      </w:r>
      <w:r w:rsidR="00F67418" w:rsidRPr="000160C5">
        <w:rPr>
          <w:rFonts w:ascii="Times New Roman" w:hAnsi="Times New Roman" w:cs="Times New Roman"/>
          <w:sz w:val="28"/>
          <w:szCs w:val="28"/>
        </w:rPr>
        <w:t xml:space="preserve">на основе рассмотренного, можно заключить, что </w:t>
      </w:r>
      <w:r w:rsidRPr="000160C5">
        <w:rPr>
          <w:rFonts w:ascii="Times New Roman" w:hAnsi="Times New Roman" w:cs="Times New Roman"/>
          <w:sz w:val="28"/>
          <w:szCs w:val="28"/>
        </w:rPr>
        <w:t>субъектный состав эмитентов и содержание годового отчета по американскому законодательству шире, чем по российскому.</w:t>
      </w:r>
      <w:r w:rsidR="00C7718F">
        <w:rPr>
          <w:rFonts w:ascii="Times New Roman" w:hAnsi="Times New Roman" w:cs="Times New Roman"/>
          <w:sz w:val="28"/>
          <w:szCs w:val="28"/>
        </w:rPr>
        <w:t xml:space="preserve">  </w:t>
      </w:r>
      <w:r w:rsidRPr="000160C5">
        <w:rPr>
          <w:rFonts w:ascii="Times New Roman" w:hAnsi="Times New Roman" w:cs="Times New Roman"/>
          <w:sz w:val="28"/>
          <w:szCs w:val="28"/>
        </w:rPr>
        <w:t xml:space="preserve"> </w:t>
      </w:r>
      <w:r w:rsidR="000F53CF" w:rsidRPr="000160C5">
        <w:rPr>
          <w:rFonts w:ascii="Times New Roman" w:hAnsi="Times New Roman" w:cs="Times New Roman"/>
          <w:sz w:val="28"/>
          <w:szCs w:val="28"/>
        </w:rPr>
        <w:t xml:space="preserve"> </w:t>
      </w:r>
      <w:proofErr w:type="gramEnd"/>
    </w:p>
    <w:p w:rsidR="00AE1C1E" w:rsidRPr="000160C5" w:rsidRDefault="00423F34" w:rsidP="005901E8">
      <w:pPr>
        <w:pStyle w:val="4"/>
        <w:keepLines w:val="0"/>
        <w:widowControl w:val="0"/>
        <w:numPr>
          <w:ilvl w:val="2"/>
          <w:numId w:val="4"/>
        </w:numPr>
        <w:spacing w:before="0"/>
        <w:rPr>
          <w:rFonts w:cs="Times New Roman"/>
          <w:szCs w:val="28"/>
        </w:rPr>
      </w:pPr>
      <w:r w:rsidRPr="000160C5">
        <w:rPr>
          <w:rFonts w:cs="Times New Roman"/>
          <w:szCs w:val="28"/>
        </w:rPr>
        <w:t>Ежек</w:t>
      </w:r>
      <w:r w:rsidR="00AE1C1E" w:rsidRPr="000160C5">
        <w:rPr>
          <w:rFonts w:cs="Times New Roman"/>
          <w:szCs w:val="28"/>
        </w:rPr>
        <w:t>вартальный</w:t>
      </w:r>
      <w:r w:rsidRPr="000160C5">
        <w:rPr>
          <w:rFonts w:cs="Times New Roman"/>
          <w:szCs w:val="28"/>
        </w:rPr>
        <w:t xml:space="preserve"> (квартальный) </w:t>
      </w:r>
      <w:r w:rsidR="00AE1C1E" w:rsidRPr="000160C5">
        <w:rPr>
          <w:rFonts w:cs="Times New Roman"/>
          <w:szCs w:val="28"/>
        </w:rPr>
        <w:t xml:space="preserve"> отчет эмитента</w:t>
      </w:r>
    </w:p>
    <w:p w:rsidR="00E00529" w:rsidRPr="000160C5" w:rsidRDefault="00E00529"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Годовой отчет эмитента предоставляет инвесторам информацию по итогам прошедшего финансового года, соответственно инвесторы получают разовую и устаревшую информацию. Для целей оперативного получения </w:t>
      </w:r>
      <w:r w:rsidR="00E916BD" w:rsidRPr="000160C5">
        <w:rPr>
          <w:rFonts w:ascii="Times New Roman" w:hAnsi="Times New Roman" w:cs="Times New Roman"/>
          <w:sz w:val="28"/>
          <w:szCs w:val="28"/>
        </w:rPr>
        <w:t xml:space="preserve">инвесторами </w:t>
      </w:r>
      <w:r w:rsidRPr="000160C5">
        <w:rPr>
          <w:rFonts w:ascii="Times New Roman" w:hAnsi="Times New Roman" w:cs="Times New Roman"/>
          <w:sz w:val="28"/>
          <w:szCs w:val="28"/>
        </w:rPr>
        <w:t>информации служит ежеквартальный отчет эмитента. Основная цель установления регулирующими органами требования по раскрытию информации в форме ежеквартального отчета - предоставить акционерам и инвесторам в рамках одного документа всю информацию, необходимую для анализа и принятия адекватных инвестиционных решений</w:t>
      </w:r>
      <w:r w:rsidRPr="000160C5">
        <w:rPr>
          <w:rStyle w:val="a9"/>
          <w:rFonts w:ascii="Times New Roman" w:hAnsi="Times New Roman" w:cs="Times New Roman"/>
          <w:sz w:val="28"/>
          <w:szCs w:val="28"/>
        </w:rPr>
        <w:footnoteReference w:id="34"/>
      </w:r>
      <w:r w:rsidRPr="000160C5">
        <w:rPr>
          <w:rFonts w:ascii="Times New Roman" w:hAnsi="Times New Roman" w:cs="Times New Roman"/>
          <w:sz w:val="28"/>
          <w:szCs w:val="28"/>
        </w:rPr>
        <w:t>.</w:t>
      </w:r>
    </w:p>
    <w:p w:rsidR="000F53CF" w:rsidRPr="000160C5" w:rsidRDefault="00E00529"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Сайт Комиссии США определяет квартальный отчет эмитента </w:t>
      </w:r>
      <w:r w:rsidR="00DB210F" w:rsidRPr="000160C5">
        <w:rPr>
          <w:rFonts w:ascii="Times New Roman" w:hAnsi="Times New Roman" w:cs="Times New Roman"/>
          <w:sz w:val="28"/>
          <w:szCs w:val="28"/>
        </w:rPr>
        <w:t>как документ, включающий финансовые отчеты, в отношении которых еще не был проведен аудит, и дающий инвесторам представление о текущем положении компании в течение финансового года</w:t>
      </w:r>
      <w:r w:rsidR="00DB210F" w:rsidRPr="000160C5">
        <w:rPr>
          <w:rStyle w:val="a9"/>
          <w:rFonts w:ascii="Times New Roman" w:hAnsi="Times New Roman" w:cs="Times New Roman"/>
          <w:sz w:val="28"/>
          <w:szCs w:val="28"/>
        </w:rPr>
        <w:footnoteReference w:id="35"/>
      </w:r>
      <w:r w:rsidR="00DB210F" w:rsidRPr="000160C5">
        <w:rPr>
          <w:rFonts w:ascii="Times New Roman" w:hAnsi="Times New Roman" w:cs="Times New Roman"/>
          <w:sz w:val="28"/>
          <w:szCs w:val="28"/>
        </w:rPr>
        <w:t xml:space="preserve">. </w:t>
      </w:r>
    </w:p>
    <w:p w:rsidR="00413E47" w:rsidRPr="000160C5" w:rsidRDefault="00413E47"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b/>
          <w:sz w:val="28"/>
          <w:szCs w:val="28"/>
          <w:u w:val="single"/>
        </w:rPr>
        <w:t>Субъекты</w:t>
      </w:r>
      <w:r w:rsidRPr="000160C5">
        <w:rPr>
          <w:rFonts w:ascii="Times New Roman" w:hAnsi="Times New Roman" w:cs="Times New Roman"/>
          <w:sz w:val="28"/>
          <w:szCs w:val="28"/>
        </w:rPr>
        <w:t>. Раскрывать информацию в форме ежеквартальных отчетов эмитенты обязаны в случае регистрации проспекта ценных бумаг, допуска биржевых облигаций к организованным торгам</w:t>
      </w:r>
      <w:r w:rsidR="00D137E9" w:rsidRPr="000160C5">
        <w:rPr>
          <w:rFonts w:ascii="Times New Roman" w:hAnsi="Times New Roman" w:cs="Times New Roman"/>
          <w:sz w:val="28"/>
          <w:szCs w:val="28"/>
        </w:rPr>
        <w:t xml:space="preserve"> </w:t>
      </w:r>
      <w:r w:rsidR="00CB71DC" w:rsidRPr="000160C5">
        <w:rPr>
          <w:rFonts w:ascii="Times New Roman" w:hAnsi="Times New Roman" w:cs="Times New Roman"/>
          <w:sz w:val="28"/>
          <w:szCs w:val="28"/>
        </w:rPr>
        <w:t xml:space="preserve">и в иных нормативно предусмотренных случаях </w:t>
      </w:r>
      <w:r w:rsidR="00D137E9" w:rsidRPr="000160C5">
        <w:rPr>
          <w:rFonts w:ascii="Times New Roman" w:hAnsi="Times New Roman" w:cs="Times New Roman"/>
          <w:sz w:val="28"/>
          <w:szCs w:val="28"/>
        </w:rPr>
        <w:t>(см. выше) вне зависимости от организационно-правовой формы эмитента в отличие от годового отчета</w:t>
      </w:r>
      <w:r w:rsidR="00CB71DC" w:rsidRPr="000160C5">
        <w:rPr>
          <w:rFonts w:ascii="Times New Roman" w:hAnsi="Times New Roman" w:cs="Times New Roman"/>
          <w:sz w:val="28"/>
          <w:szCs w:val="28"/>
        </w:rPr>
        <w:t>, раскрывать который обязаны только акционерные общества</w:t>
      </w:r>
      <w:r w:rsidR="00D137E9" w:rsidRPr="000160C5">
        <w:rPr>
          <w:rFonts w:ascii="Times New Roman" w:hAnsi="Times New Roman" w:cs="Times New Roman"/>
          <w:sz w:val="28"/>
          <w:szCs w:val="28"/>
        </w:rPr>
        <w:t xml:space="preserve">. </w:t>
      </w:r>
      <w:r w:rsidRPr="000160C5">
        <w:rPr>
          <w:rFonts w:ascii="Times New Roman" w:hAnsi="Times New Roman" w:cs="Times New Roman"/>
          <w:sz w:val="28"/>
          <w:szCs w:val="28"/>
        </w:rPr>
        <w:t xml:space="preserve"> </w:t>
      </w:r>
    </w:p>
    <w:p w:rsidR="00413E47" w:rsidRPr="000160C5" w:rsidRDefault="00413E47"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Американское законодательство требует</w:t>
      </w:r>
      <w:r w:rsidR="00D137E9" w:rsidRPr="000160C5">
        <w:rPr>
          <w:rFonts w:ascii="Times New Roman" w:hAnsi="Times New Roman" w:cs="Times New Roman"/>
          <w:sz w:val="28"/>
          <w:szCs w:val="28"/>
        </w:rPr>
        <w:t xml:space="preserve"> раскрытия квартальных отчетов от тех же эмитентов, которые обязаны предоставлять годовые </w:t>
      </w:r>
      <w:r w:rsidR="00D137E9" w:rsidRPr="000160C5">
        <w:rPr>
          <w:rFonts w:ascii="Times New Roman" w:hAnsi="Times New Roman" w:cs="Times New Roman"/>
          <w:sz w:val="28"/>
          <w:szCs w:val="28"/>
        </w:rPr>
        <w:lastRenderedPageBreak/>
        <w:t>отчеты</w:t>
      </w:r>
      <w:r w:rsidR="00F67418" w:rsidRPr="000160C5">
        <w:rPr>
          <w:rFonts w:ascii="Times New Roman" w:hAnsi="Times New Roman" w:cs="Times New Roman"/>
          <w:sz w:val="28"/>
          <w:szCs w:val="28"/>
        </w:rPr>
        <w:t xml:space="preserve">, то есть ценные </w:t>
      </w:r>
      <w:proofErr w:type="gramStart"/>
      <w:r w:rsidR="00F67418" w:rsidRPr="000160C5">
        <w:rPr>
          <w:rFonts w:ascii="Times New Roman" w:hAnsi="Times New Roman" w:cs="Times New Roman"/>
          <w:sz w:val="28"/>
          <w:szCs w:val="28"/>
        </w:rPr>
        <w:t>бумаги</w:t>
      </w:r>
      <w:proofErr w:type="gramEnd"/>
      <w:r w:rsidR="00F67418" w:rsidRPr="000160C5">
        <w:rPr>
          <w:rFonts w:ascii="Times New Roman" w:hAnsi="Times New Roman" w:cs="Times New Roman"/>
          <w:sz w:val="28"/>
          <w:szCs w:val="28"/>
        </w:rPr>
        <w:t xml:space="preserve"> которых обращаются публично и подпадают под требование регистрации</w:t>
      </w:r>
      <w:r w:rsidR="00CB71DC" w:rsidRPr="000160C5">
        <w:rPr>
          <w:rFonts w:ascii="Times New Roman" w:hAnsi="Times New Roman" w:cs="Times New Roman"/>
          <w:sz w:val="28"/>
          <w:szCs w:val="28"/>
        </w:rPr>
        <w:t xml:space="preserve"> выпуска</w:t>
      </w:r>
      <w:r w:rsidR="00F67418" w:rsidRPr="000160C5">
        <w:rPr>
          <w:rFonts w:ascii="Times New Roman" w:hAnsi="Times New Roman" w:cs="Times New Roman"/>
          <w:sz w:val="28"/>
          <w:szCs w:val="28"/>
        </w:rPr>
        <w:t xml:space="preserve"> в Комиссии США на основании Закона о ценных бумагах 1933 года.</w:t>
      </w:r>
      <w:r w:rsidR="00D137E9" w:rsidRPr="000160C5">
        <w:rPr>
          <w:rFonts w:ascii="Times New Roman" w:hAnsi="Times New Roman" w:cs="Times New Roman"/>
          <w:sz w:val="28"/>
          <w:szCs w:val="28"/>
        </w:rPr>
        <w:t xml:space="preserve"> </w:t>
      </w:r>
      <w:r w:rsidRPr="000160C5">
        <w:rPr>
          <w:rFonts w:ascii="Times New Roman" w:hAnsi="Times New Roman" w:cs="Times New Roman"/>
          <w:sz w:val="28"/>
          <w:szCs w:val="28"/>
        </w:rPr>
        <w:t xml:space="preserve">  </w:t>
      </w:r>
    </w:p>
    <w:p w:rsidR="00CB71DC" w:rsidRPr="000160C5" w:rsidRDefault="00CB71DC"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Таким образом, с точки зрения субъектного состава эмитентов, обязанных раскрывать информацию в рассматриваемых формах, в законодательстве России и США прослеживается единство подхода: </w:t>
      </w:r>
      <w:r w:rsidR="006153DF" w:rsidRPr="000160C5">
        <w:rPr>
          <w:rFonts w:ascii="Times New Roman" w:hAnsi="Times New Roman" w:cs="Times New Roman"/>
          <w:sz w:val="28"/>
          <w:szCs w:val="28"/>
        </w:rPr>
        <w:t xml:space="preserve">указанная </w:t>
      </w:r>
      <w:r w:rsidRPr="000160C5">
        <w:rPr>
          <w:rFonts w:ascii="Times New Roman" w:hAnsi="Times New Roman" w:cs="Times New Roman"/>
          <w:sz w:val="28"/>
          <w:szCs w:val="28"/>
        </w:rPr>
        <w:t>обязанность распространяется на компании, публично предлагающие свои ценные бумаги.</w:t>
      </w:r>
    </w:p>
    <w:p w:rsidR="00E37C4A" w:rsidRPr="000160C5" w:rsidRDefault="00CD56A8"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b/>
          <w:sz w:val="28"/>
          <w:szCs w:val="28"/>
          <w:u w:val="single"/>
        </w:rPr>
        <w:t>Содержание</w:t>
      </w:r>
      <w:r w:rsidRPr="000160C5">
        <w:rPr>
          <w:rFonts w:ascii="Times New Roman" w:hAnsi="Times New Roman" w:cs="Times New Roman"/>
          <w:sz w:val="28"/>
          <w:szCs w:val="28"/>
        </w:rPr>
        <w:t xml:space="preserve">. </w:t>
      </w:r>
      <w:proofErr w:type="gramStart"/>
      <w:r w:rsidR="00370235" w:rsidRPr="000160C5">
        <w:rPr>
          <w:rFonts w:ascii="Times New Roman" w:hAnsi="Times New Roman" w:cs="Times New Roman"/>
          <w:sz w:val="28"/>
          <w:szCs w:val="28"/>
        </w:rPr>
        <w:t xml:space="preserve">Форма ежеквартального (квартального) отчета </w:t>
      </w:r>
      <w:r w:rsidR="006153DF" w:rsidRPr="000160C5">
        <w:rPr>
          <w:rFonts w:ascii="Times New Roman" w:hAnsi="Times New Roman" w:cs="Times New Roman"/>
          <w:sz w:val="28"/>
          <w:szCs w:val="28"/>
        </w:rPr>
        <w:t>закреплена</w:t>
      </w:r>
      <w:r w:rsidR="00370235" w:rsidRPr="000160C5">
        <w:rPr>
          <w:rFonts w:ascii="Times New Roman" w:hAnsi="Times New Roman" w:cs="Times New Roman"/>
          <w:sz w:val="28"/>
          <w:szCs w:val="28"/>
        </w:rPr>
        <w:t xml:space="preserve"> нормативно</w:t>
      </w:r>
      <w:r w:rsidR="006153DF" w:rsidRPr="000160C5">
        <w:rPr>
          <w:rFonts w:ascii="Times New Roman" w:hAnsi="Times New Roman" w:cs="Times New Roman"/>
          <w:sz w:val="28"/>
          <w:szCs w:val="28"/>
        </w:rPr>
        <w:t xml:space="preserve"> как в России, так и в США</w:t>
      </w:r>
      <w:r w:rsidR="006153DF" w:rsidRPr="000160C5">
        <w:rPr>
          <w:rStyle w:val="a9"/>
          <w:rFonts w:ascii="Times New Roman" w:hAnsi="Times New Roman" w:cs="Times New Roman"/>
          <w:sz w:val="28"/>
          <w:szCs w:val="28"/>
        </w:rPr>
        <w:footnoteReference w:id="36"/>
      </w:r>
      <w:r w:rsidR="00370235" w:rsidRPr="000160C5">
        <w:rPr>
          <w:rFonts w:ascii="Times New Roman" w:hAnsi="Times New Roman" w:cs="Times New Roman"/>
          <w:sz w:val="28"/>
          <w:szCs w:val="28"/>
        </w:rPr>
        <w:t xml:space="preserve">. На основании сравнения требуемого содержания отчетов (см. </w:t>
      </w:r>
      <w:hyperlink w:anchor="_Приложение_3._Форма" w:history="1">
        <w:r w:rsidR="006153DF" w:rsidRPr="000160C5">
          <w:rPr>
            <w:rStyle w:val="aa"/>
            <w:rFonts w:ascii="Times New Roman" w:hAnsi="Times New Roman" w:cs="Times New Roman"/>
            <w:sz w:val="28"/>
            <w:szCs w:val="28"/>
          </w:rPr>
          <w:t>Приложение 2</w:t>
        </w:r>
      </w:hyperlink>
      <w:r w:rsidR="00370235" w:rsidRPr="000160C5">
        <w:rPr>
          <w:rFonts w:ascii="Times New Roman" w:hAnsi="Times New Roman" w:cs="Times New Roman"/>
          <w:sz w:val="28"/>
          <w:szCs w:val="28"/>
        </w:rPr>
        <w:t xml:space="preserve">) автором настоящей работы были сделаны выводы о том, что российский ежеквартальный отчет эмитента является очень массивным документом в </w:t>
      </w:r>
      <w:r w:rsidR="008C48C4" w:rsidRPr="000160C5">
        <w:rPr>
          <w:rFonts w:ascii="Times New Roman" w:hAnsi="Times New Roman" w:cs="Times New Roman"/>
          <w:sz w:val="28"/>
          <w:szCs w:val="28"/>
        </w:rPr>
        <w:t>сопоставлении</w:t>
      </w:r>
      <w:r w:rsidR="00370235" w:rsidRPr="000160C5">
        <w:rPr>
          <w:rFonts w:ascii="Times New Roman" w:hAnsi="Times New Roman" w:cs="Times New Roman"/>
          <w:sz w:val="28"/>
          <w:szCs w:val="28"/>
        </w:rPr>
        <w:t xml:space="preserve"> с американским квартальным отчетом: для сравнения объем ежеквартального отчета ОАО «ЛУКОЙЛ» за </w:t>
      </w:r>
      <w:r w:rsidR="00370235" w:rsidRPr="000160C5">
        <w:rPr>
          <w:rFonts w:ascii="Times New Roman" w:hAnsi="Times New Roman" w:cs="Times New Roman"/>
          <w:sz w:val="28"/>
          <w:szCs w:val="28"/>
          <w:lang w:val="en-US"/>
        </w:rPr>
        <w:t>IV</w:t>
      </w:r>
      <w:r w:rsidR="00370235" w:rsidRPr="000160C5">
        <w:rPr>
          <w:rFonts w:ascii="Times New Roman" w:hAnsi="Times New Roman" w:cs="Times New Roman"/>
          <w:sz w:val="28"/>
          <w:szCs w:val="28"/>
        </w:rPr>
        <w:t xml:space="preserve"> квартал 2012 года</w:t>
      </w:r>
      <w:r w:rsidR="00E37C4A" w:rsidRPr="000160C5">
        <w:rPr>
          <w:rStyle w:val="a9"/>
          <w:rFonts w:ascii="Times New Roman" w:hAnsi="Times New Roman" w:cs="Times New Roman"/>
          <w:sz w:val="28"/>
          <w:szCs w:val="28"/>
        </w:rPr>
        <w:footnoteReference w:id="37"/>
      </w:r>
      <w:r w:rsidR="00370235" w:rsidRPr="000160C5">
        <w:rPr>
          <w:rFonts w:ascii="Times New Roman" w:hAnsi="Times New Roman" w:cs="Times New Roman"/>
          <w:sz w:val="28"/>
          <w:szCs w:val="28"/>
        </w:rPr>
        <w:t xml:space="preserve"> превышает 200 стр</w:t>
      </w:r>
      <w:r w:rsidR="006153DF" w:rsidRPr="000160C5">
        <w:rPr>
          <w:rFonts w:ascii="Times New Roman" w:hAnsi="Times New Roman" w:cs="Times New Roman"/>
          <w:sz w:val="28"/>
          <w:szCs w:val="28"/>
        </w:rPr>
        <w:t>аниц</w:t>
      </w:r>
      <w:proofErr w:type="gramEnd"/>
      <w:r w:rsidR="00370235" w:rsidRPr="000160C5">
        <w:rPr>
          <w:rFonts w:ascii="Times New Roman" w:hAnsi="Times New Roman" w:cs="Times New Roman"/>
          <w:sz w:val="28"/>
          <w:szCs w:val="28"/>
        </w:rPr>
        <w:t xml:space="preserve"> </w:t>
      </w:r>
      <w:r w:rsidR="008C48C4" w:rsidRPr="000160C5">
        <w:rPr>
          <w:rFonts w:ascii="Times New Roman" w:hAnsi="Times New Roman" w:cs="Times New Roman"/>
          <w:sz w:val="28"/>
          <w:szCs w:val="28"/>
        </w:rPr>
        <w:t>в то время</w:t>
      </w:r>
      <w:proofErr w:type="gramStart"/>
      <w:r w:rsidR="008C48C4" w:rsidRPr="000160C5">
        <w:rPr>
          <w:rFonts w:ascii="Times New Roman" w:hAnsi="Times New Roman" w:cs="Times New Roman"/>
          <w:sz w:val="28"/>
          <w:szCs w:val="28"/>
        </w:rPr>
        <w:t>,</w:t>
      </w:r>
      <w:proofErr w:type="gramEnd"/>
      <w:r w:rsidR="008C48C4" w:rsidRPr="000160C5">
        <w:rPr>
          <w:rFonts w:ascii="Times New Roman" w:hAnsi="Times New Roman" w:cs="Times New Roman"/>
          <w:sz w:val="28"/>
          <w:szCs w:val="28"/>
        </w:rPr>
        <w:t xml:space="preserve"> как</w:t>
      </w:r>
      <w:r w:rsidR="00370235" w:rsidRPr="000160C5">
        <w:rPr>
          <w:rFonts w:ascii="Times New Roman" w:hAnsi="Times New Roman" w:cs="Times New Roman"/>
          <w:sz w:val="28"/>
          <w:szCs w:val="28"/>
        </w:rPr>
        <w:t xml:space="preserve"> объем квартального отчета </w:t>
      </w:r>
      <w:r w:rsidR="002A58E4" w:rsidRPr="000160C5">
        <w:rPr>
          <w:rFonts w:ascii="Times New Roman" w:hAnsi="Times New Roman" w:cs="Times New Roman"/>
          <w:sz w:val="28"/>
          <w:szCs w:val="28"/>
          <w:lang w:val="en-US"/>
        </w:rPr>
        <w:t>Apple</w:t>
      </w:r>
      <w:r w:rsidR="002A58E4" w:rsidRPr="000160C5">
        <w:rPr>
          <w:rFonts w:ascii="Times New Roman" w:hAnsi="Times New Roman" w:cs="Times New Roman"/>
          <w:sz w:val="28"/>
          <w:szCs w:val="28"/>
        </w:rPr>
        <w:t xml:space="preserve"> </w:t>
      </w:r>
      <w:r w:rsidR="002A58E4" w:rsidRPr="000160C5">
        <w:rPr>
          <w:rFonts w:ascii="Times New Roman" w:hAnsi="Times New Roman" w:cs="Times New Roman"/>
          <w:sz w:val="28"/>
          <w:szCs w:val="28"/>
          <w:lang w:val="en-US"/>
        </w:rPr>
        <w:t>Inc</w:t>
      </w:r>
      <w:r w:rsidR="002A58E4" w:rsidRPr="000160C5">
        <w:rPr>
          <w:rFonts w:ascii="Times New Roman" w:hAnsi="Times New Roman" w:cs="Times New Roman"/>
          <w:sz w:val="28"/>
          <w:szCs w:val="28"/>
        </w:rPr>
        <w:t>. за тот же период</w:t>
      </w:r>
      <w:r w:rsidR="00E37C4A" w:rsidRPr="000160C5">
        <w:rPr>
          <w:rStyle w:val="a9"/>
          <w:rFonts w:ascii="Times New Roman" w:hAnsi="Times New Roman" w:cs="Times New Roman"/>
          <w:sz w:val="28"/>
          <w:szCs w:val="28"/>
        </w:rPr>
        <w:footnoteReference w:id="38"/>
      </w:r>
      <w:r w:rsidR="002A58E4" w:rsidRPr="000160C5">
        <w:rPr>
          <w:rFonts w:ascii="Times New Roman" w:hAnsi="Times New Roman" w:cs="Times New Roman"/>
          <w:sz w:val="28"/>
          <w:szCs w:val="28"/>
        </w:rPr>
        <w:t xml:space="preserve"> не превышает 47 страниц со всеми приложениями.</w:t>
      </w:r>
      <w:r w:rsidR="00E37C4A" w:rsidRPr="000160C5">
        <w:rPr>
          <w:rFonts w:ascii="Times New Roman" w:hAnsi="Times New Roman" w:cs="Times New Roman"/>
          <w:sz w:val="28"/>
          <w:szCs w:val="28"/>
        </w:rPr>
        <w:t xml:space="preserve"> Очевидно, что массивный отчет труден для восприятия инвестора, осилить многостраничный документ достаточно непросто</w:t>
      </w:r>
      <w:r w:rsidR="008C48C4" w:rsidRPr="000160C5">
        <w:rPr>
          <w:rFonts w:ascii="Times New Roman" w:hAnsi="Times New Roman" w:cs="Times New Roman"/>
          <w:sz w:val="28"/>
          <w:szCs w:val="28"/>
        </w:rPr>
        <w:t>, тем более – вычленить всю важную информацию из многообразия представленных в отчете сведений</w:t>
      </w:r>
      <w:r w:rsidR="00E37C4A" w:rsidRPr="000160C5">
        <w:rPr>
          <w:rFonts w:ascii="Times New Roman" w:hAnsi="Times New Roman" w:cs="Times New Roman"/>
          <w:sz w:val="28"/>
          <w:szCs w:val="28"/>
        </w:rPr>
        <w:t xml:space="preserve">. </w:t>
      </w:r>
    </w:p>
    <w:p w:rsidR="00636A0B" w:rsidRPr="000160C5" w:rsidRDefault="00E37C4A"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Более того </w:t>
      </w:r>
      <w:r w:rsidR="008C48C4" w:rsidRPr="000160C5">
        <w:rPr>
          <w:rFonts w:ascii="Times New Roman" w:hAnsi="Times New Roman" w:cs="Times New Roman"/>
          <w:sz w:val="28"/>
          <w:szCs w:val="28"/>
        </w:rPr>
        <w:t>удельное</w:t>
      </w:r>
      <w:r w:rsidRPr="000160C5">
        <w:rPr>
          <w:rFonts w:ascii="Times New Roman" w:hAnsi="Times New Roman" w:cs="Times New Roman"/>
          <w:sz w:val="28"/>
          <w:szCs w:val="28"/>
        </w:rPr>
        <w:t xml:space="preserve"> количество информации, содержащейся в российском ежеквартальном отчете, дублирует информацию, раскрываемую в других формах, например, в форме существенных фактов</w:t>
      </w:r>
      <w:r w:rsidR="008C48C4" w:rsidRPr="000160C5">
        <w:rPr>
          <w:rFonts w:ascii="Times New Roman" w:hAnsi="Times New Roman" w:cs="Times New Roman"/>
          <w:sz w:val="28"/>
          <w:szCs w:val="28"/>
        </w:rPr>
        <w:t>.</w:t>
      </w:r>
      <w:r w:rsidRPr="000160C5">
        <w:rPr>
          <w:rFonts w:ascii="Times New Roman" w:hAnsi="Times New Roman" w:cs="Times New Roman"/>
          <w:sz w:val="28"/>
          <w:szCs w:val="28"/>
        </w:rPr>
        <w:t xml:space="preserve"> </w:t>
      </w:r>
      <w:r w:rsidR="008C48C4" w:rsidRPr="000160C5">
        <w:rPr>
          <w:rFonts w:ascii="Times New Roman" w:hAnsi="Times New Roman" w:cs="Times New Roman"/>
          <w:sz w:val="28"/>
          <w:szCs w:val="28"/>
        </w:rPr>
        <w:t xml:space="preserve">В </w:t>
      </w:r>
      <w:r w:rsidRPr="000160C5">
        <w:rPr>
          <w:rFonts w:ascii="Times New Roman" w:hAnsi="Times New Roman" w:cs="Times New Roman"/>
          <w:sz w:val="28"/>
          <w:szCs w:val="28"/>
        </w:rPr>
        <w:t>американско</w:t>
      </w:r>
      <w:r w:rsidR="008C48C4" w:rsidRPr="000160C5">
        <w:rPr>
          <w:rFonts w:ascii="Times New Roman" w:hAnsi="Times New Roman" w:cs="Times New Roman"/>
          <w:sz w:val="28"/>
          <w:szCs w:val="28"/>
        </w:rPr>
        <w:t>м</w:t>
      </w:r>
      <w:r w:rsidRPr="000160C5">
        <w:rPr>
          <w:rFonts w:ascii="Times New Roman" w:hAnsi="Times New Roman" w:cs="Times New Roman"/>
          <w:sz w:val="28"/>
          <w:szCs w:val="28"/>
        </w:rPr>
        <w:t xml:space="preserve"> квартально</w:t>
      </w:r>
      <w:r w:rsidR="008C48C4" w:rsidRPr="000160C5">
        <w:rPr>
          <w:rFonts w:ascii="Times New Roman" w:hAnsi="Times New Roman" w:cs="Times New Roman"/>
          <w:sz w:val="28"/>
          <w:szCs w:val="28"/>
        </w:rPr>
        <w:t>м</w:t>
      </w:r>
      <w:r w:rsidRPr="000160C5">
        <w:rPr>
          <w:rFonts w:ascii="Times New Roman" w:hAnsi="Times New Roman" w:cs="Times New Roman"/>
          <w:sz w:val="28"/>
          <w:szCs w:val="28"/>
        </w:rPr>
        <w:t xml:space="preserve"> отчет</w:t>
      </w:r>
      <w:r w:rsidR="008C48C4" w:rsidRPr="000160C5">
        <w:rPr>
          <w:rFonts w:ascii="Times New Roman" w:hAnsi="Times New Roman" w:cs="Times New Roman"/>
          <w:sz w:val="28"/>
          <w:szCs w:val="28"/>
        </w:rPr>
        <w:t>е</w:t>
      </w:r>
      <w:r w:rsidRPr="000160C5">
        <w:rPr>
          <w:rFonts w:ascii="Times New Roman" w:hAnsi="Times New Roman" w:cs="Times New Roman"/>
          <w:sz w:val="28"/>
          <w:szCs w:val="28"/>
        </w:rPr>
        <w:t>,</w:t>
      </w:r>
      <w:r w:rsidR="008C48C4" w:rsidRPr="000160C5">
        <w:rPr>
          <w:rFonts w:ascii="Times New Roman" w:hAnsi="Times New Roman" w:cs="Times New Roman"/>
          <w:sz w:val="28"/>
          <w:szCs w:val="28"/>
        </w:rPr>
        <w:t xml:space="preserve"> напротив,</w:t>
      </w:r>
      <w:r w:rsidRPr="000160C5">
        <w:rPr>
          <w:rFonts w:ascii="Times New Roman" w:hAnsi="Times New Roman" w:cs="Times New Roman"/>
          <w:sz w:val="28"/>
          <w:szCs w:val="28"/>
        </w:rPr>
        <w:t xml:space="preserve"> </w:t>
      </w:r>
      <w:r w:rsidR="008C48C4" w:rsidRPr="000160C5">
        <w:rPr>
          <w:rFonts w:ascii="Times New Roman" w:hAnsi="Times New Roman" w:cs="Times New Roman"/>
          <w:sz w:val="28"/>
          <w:szCs w:val="28"/>
        </w:rPr>
        <w:t>дословно</w:t>
      </w:r>
      <w:r w:rsidRPr="000160C5">
        <w:rPr>
          <w:rFonts w:ascii="Times New Roman" w:hAnsi="Times New Roman" w:cs="Times New Roman"/>
          <w:sz w:val="28"/>
          <w:szCs w:val="28"/>
        </w:rPr>
        <w:t xml:space="preserve"> указано, что та информация, которая </w:t>
      </w:r>
      <w:r w:rsidR="008C48C4" w:rsidRPr="000160C5">
        <w:rPr>
          <w:rFonts w:ascii="Times New Roman" w:hAnsi="Times New Roman" w:cs="Times New Roman"/>
          <w:sz w:val="28"/>
          <w:szCs w:val="28"/>
        </w:rPr>
        <w:t xml:space="preserve">уже </w:t>
      </w:r>
      <w:r w:rsidRPr="000160C5">
        <w:rPr>
          <w:rFonts w:ascii="Times New Roman" w:hAnsi="Times New Roman" w:cs="Times New Roman"/>
          <w:sz w:val="28"/>
          <w:szCs w:val="28"/>
        </w:rPr>
        <w:t xml:space="preserve">была раскрыта в текущем отчете, не требует повторного раскрытия в квартальном отчете. </w:t>
      </w:r>
      <w:r w:rsidR="00370235" w:rsidRPr="000160C5">
        <w:rPr>
          <w:rFonts w:ascii="Times New Roman" w:hAnsi="Times New Roman" w:cs="Times New Roman"/>
          <w:sz w:val="28"/>
          <w:szCs w:val="28"/>
        </w:rPr>
        <w:t xml:space="preserve">   </w:t>
      </w:r>
    </w:p>
    <w:p w:rsidR="00DD2B93" w:rsidRPr="000160C5" w:rsidRDefault="0094704D"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lastRenderedPageBreak/>
        <w:t xml:space="preserve">Также стоит отметить, что </w:t>
      </w:r>
      <w:r w:rsidR="006B4DA0" w:rsidRPr="000160C5">
        <w:rPr>
          <w:rFonts w:ascii="Times New Roman" w:hAnsi="Times New Roman" w:cs="Times New Roman"/>
          <w:sz w:val="28"/>
          <w:szCs w:val="28"/>
        </w:rPr>
        <w:t xml:space="preserve">российский ежеквартальный отчет эмитента содержит </w:t>
      </w:r>
      <w:r w:rsidR="001528A2" w:rsidRPr="000160C5">
        <w:rPr>
          <w:rFonts w:ascii="Times New Roman" w:hAnsi="Times New Roman" w:cs="Times New Roman"/>
          <w:sz w:val="28"/>
          <w:szCs w:val="28"/>
        </w:rPr>
        <w:t>некоторую</w:t>
      </w:r>
      <w:r w:rsidR="006B4DA0" w:rsidRPr="000160C5">
        <w:rPr>
          <w:rFonts w:ascii="Times New Roman" w:hAnsi="Times New Roman" w:cs="Times New Roman"/>
          <w:sz w:val="28"/>
          <w:szCs w:val="28"/>
        </w:rPr>
        <w:t xml:space="preserve"> статичн</w:t>
      </w:r>
      <w:r w:rsidR="001528A2" w:rsidRPr="000160C5">
        <w:rPr>
          <w:rFonts w:ascii="Times New Roman" w:hAnsi="Times New Roman" w:cs="Times New Roman"/>
          <w:sz w:val="28"/>
          <w:szCs w:val="28"/>
        </w:rPr>
        <w:t>ую</w:t>
      </w:r>
      <w:r w:rsidR="006B4DA0" w:rsidRPr="000160C5">
        <w:rPr>
          <w:rFonts w:ascii="Times New Roman" w:hAnsi="Times New Roman" w:cs="Times New Roman"/>
          <w:sz w:val="28"/>
          <w:szCs w:val="28"/>
        </w:rPr>
        <w:t xml:space="preserve"> информаци</w:t>
      </w:r>
      <w:r w:rsidR="001528A2" w:rsidRPr="000160C5">
        <w:rPr>
          <w:rFonts w:ascii="Times New Roman" w:hAnsi="Times New Roman" w:cs="Times New Roman"/>
          <w:sz w:val="28"/>
          <w:szCs w:val="28"/>
        </w:rPr>
        <w:t>ю</w:t>
      </w:r>
      <w:r w:rsidR="006B4DA0" w:rsidRPr="000160C5">
        <w:rPr>
          <w:rFonts w:ascii="Times New Roman" w:hAnsi="Times New Roman" w:cs="Times New Roman"/>
          <w:sz w:val="28"/>
          <w:szCs w:val="28"/>
        </w:rPr>
        <w:t xml:space="preserve">, например, </w:t>
      </w:r>
      <w:r w:rsidR="001528A2" w:rsidRPr="000160C5">
        <w:rPr>
          <w:rFonts w:ascii="Times New Roman" w:hAnsi="Times New Roman" w:cs="Times New Roman"/>
          <w:sz w:val="28"/>
          <w:szCs w:val="28"/>
        </w:rPr>
        <w:t>историю создания эмитента, которая кочует из отчета в отчет и не несет никакой существенной смысловой наг</w:t>
      </w:r>
      <w:r w:rsidR="008C48C4" w:rsidRPr="000160C5">
        <w:rPr>
          <w:rFonts w:ascii="Times New Roman" w:hAnsi="Times New Roman" w:cs="Times New Roman"/>
          <w:sz w:val="28"/>
          <w:szCs w:val="28"/>
        </w:rPr>
        <w:t>рузки для инвестора, таким образом, порождая излишний массив представленных сведений. Американский квартальный отчет, напротив, отражает исключительно динамику хозяйственной деятельности эмитента, показывая изменения по сравнению с предшествующим периодом, тем самым, демонстрируя инвестору все интересующие его сведения.</w:t>
      </w:r>
    </w:p>
    <w:p w:rsidR="0094704D" w:rsidRPr="000160C5" w:rsidRDefault="00DD2B93"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b/>
          <w:sz w:val="28"/>
          <w:szCs w:val="28"/>
          <w:u w:val="single"/>
        </w:rPr>
        <w:t>Порядок и сроки</w:t>
      </w:r>
      <w:r w:rsidRPr="000160C5">
        <w:rPr>
          <w:rFonts w:ascii="Times New Roman" w:hAnsi="Times New Roman" w:cs="Times New Roman"/>
          <w:sz w:val="28"/>
          <w:szCs w:val="28"/>
        </w:rPr>
        <w:t xml:space="preserve">. </w:t>
      </w:r>
      <w:r w:rsidR="00070ACD" w:rsidRPr="000160C5">
        <w:rPr>
          <w:rFonts w:ascii="Times New Roman" w:hAnsi="Times New Roman" w:cs="Times New Roman"/>
          <w:sz w:val="28"/>
          <w:szCs w:val="28"/>
        </w:rPr>
        <w:t>Согласно Положению о раскрытии информации ежеквартальный отчет эмитента должен быть опубликован в сети Интернет в течение 45 дней с момента окончания отчетного периода, то есть квартала</w:t>
      </w:r>
      <w:r w:rsidR="006D6EA8" w:rsidRPr="000160C5">
        <w:rPr>
          <w:rFonts w:ascii="Times New Roman" w:hAnsi="Times New Roman" w:cs="Times New Roman"/>
          <w:sz w:val="28"/>
          <w:szCs w:val="28"/>
        </w:rPr>
        <w:t xml:space="preserve"> (</w:t>
      </w:r>
      <w:r w:rsidR="00056FE8" w:rsidRPr="000160C5">
        <w:rPr>
          <w:rFonts w:ascii="Times New Roman" w:hAnsi="Times New Roman" w:cs="Times New Roman"/>
          <w:sz w:val="28"/>
          <w:szCs w:val="28"/>
        </w:rPr>
        <w:t>согласно п. 5.11 Положения о раскрытии информации</w:t>
      </w:r>
      <w:r w:rsidR="008C48C4" w:rsidRPr="000160C5">
        <w:rPr>
          <w:rFonts w:ascii="Times New Roman" w:hAnsi="Times New Roman" w:cs="Times New Roman"/>
          <w:sz w:val="28"/>
          <w:szCs w:val="28"/>
        </w:rPr>
        <w:t>,</w:t>
      </w:r>
      <w:r w:rsidR="00056FE8" w:rsidRPr="000160C5">
        <w:rPr>
          <w:rFonts w:ascii="Times New Roman" w:hAnsi="Times New Roman" w:cs="Times New Roman"/>
          <w:sz w:val="28"/>
          <w:szCs w:val="28"/>
        </w:rPr>
        <w:t xml:space="preserve"> </w:t>
      </w:r>
      <w:r w:rsidR="006D6EA8" w:rsidRPr="000160C5">
        <w:rPr>
          <w:rFonts w:ascii="Times New Roman" w:hAnsi="Times New Roman" w:cs="Times New Roman"/>
          <w:sz w:val="28"/>
          <w:szCs w:val="28"/>
        </w:rPr>
        <w:t xml:space="preserve">до 1 сентября 2012 года действовала обязанность эмитента </w:t>
      </w:r>
      <w:proofErr w:type="gramStart"/>
      <w:r w:rsidR="006D6EA8" w:rsidRPr="000160C5">
        <w:rPr>
          <w:rFonts w:ascii="Times New Roman" w:hAnsi="Times New Roman" w:cs="Times New Roman"/>
          <w:sz w:val="28"/>
          <w:szCs w:val="28"/>
        </w:rPr>
        <w:t>предостав</w:t>
      </w:r>
      <w:r w:rsidR="00056FE8" w:rsidRPr="000160C5">
        <w:rPr>
          <w:rFonts w:ascii="Times New Roman" w:hAnsi="Times New Roman" w:cs="Times New Roman"/>
          <w:sz w:val="28"/>
          <w:szCs w:val="28"/>
        </w:rPr>
        <w:t>лять</w:t>
      </w:r>
      <w:r w:rsidR="006D6EA8" w:rsidRPr="000160C5">
        <w:rPr>
          <w:rFonts w:ascii="Times New Roman" w:hAnsi="Times New Roman" w:cs="Times New Roman"/>
          <w:sz w:val="28"/>
          <w:szCs w:val="28"/>
        </w:rPr>
        <w:t xml:space="preserve"> ежеквартальный отчет</w:t>
      </w:r>
      <w:proofErr w:type="gramEnd"/>
      <w:r w:rsidR="006D6EA8" w:rsidRPr="000160C5">
        <w:rPr>
          <w:rFonts w:ascii="Times New Roman" w:hAnsi="Times New Roman" w:cs="Times New Roman"/>
          <w:sz w:val="28"/>
          <w:szCs w:val="28"/>
        </w:rPr>
        <w:t xml:space="preserve"> в ФСФР)</w:t>
      </w:r>
      <w:r w:rsidR="00070ACD" w:rsidRPr="000160C5">
        <w:rPr>
          <w:rFonts w:ascii="Times New Roman" w:hAnsi="Times New Roman" w:cs="Times New Roman"/>
          <w:sz w:val="28"/>
          <w:szCs w:val="28"/>
        </w:rPr>
        <w:t xml:space="preserve">. </w:t>
      </w:r>
      <w:r w:rsidR="001528A2" w:rsidRPr="000160C5">
        <w:rPr>
          <w:rFonts w:ascii="Times New Roman" w:hAnsi="Times New Roman" w:cs="Times New Roman"/>
          <w:sz w:val="28"/>
          <w:szCs w:val="28"/>
        </w:rPr>
        <w:t xml:space="preserve">  </w:t>
      </w:r>
    </w:p>
    <w:p w:rsidR="00070ACD" w:rsidRPr="000160C5" w:rsidRDefault="00070ACD"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Уставом эмитента может быть предусмотрено, что ежеквартальный отчет подлежит утверждению компетентным органом эмитента.</w:t>
      </w:r>
      <w:r w:rsidR="00B50971" w:rsidRPr="000160C5">
        <w:rPr>
          <w:rFonts w:ascii="Times New Roman" w:hAnsi="Times New Roman" w:cs="Times New Roman"/>
          <w:sz w:val="28"/>
          <w:szCs w:val="28"/>
        </w:rPr>
        <w:t xml:space="preserve"> Ежеквартальный отчет эмитента </w:t>
      </w:r>
      <w:r w:rsidR="00650840">
        <w:rPr>
          <w:rFonts w:ascii="Times New Roman" w:hAnsi="Times New Roman" w:cs="Times New Roman"/>
          <w:sz w:val="28"/>
          <w:szCs w:val="28"/>
        </w:rPr>
        <w:t>подписывается</w:t>
      </w:r>
      <w:r w:rsidR="00B50971" w:rsidRPr="000160C5">
        <w:rPr>
          <w:rFonts w:ascii="Times New Roman" w:hAnsi="Times New Roman" w:cs="Times New Roman"/>
          <w:sz w:val="28"/>
          <w:szCs w:val="28"/>
        </w:rPr>
        <w:t xml:space="preserve"> единоличным исполнительным органом, а также главным бухгалтером организации. Дополнительно отчет может быть подписан иными лицами, в том числе консультантами эмитента, аудитором, оценщиком, подтверждающими достоверность информации в указанной ими части ежеквартального отчета.</w:t>
      </w:r>
    </w:p>
    <w:p w:rsidR="000E334D" w:rsidRPr="000160C5" w:rsidRDefault="000E334D" w:rsidP="005901E8">
      <w:pPr>
        <w:keepNext/>
        <w:widowControl w:val="0"/>
        <w:spacing w:after="0" w:line="360" w:lineRule="auto"/>
        <w:ind w:firstLine="709"/>
        <w:jc w:val="both"/>
        <w:rPr>
          <w:rFonts w:ascii="Times New Roman" w:hAnsi="Times New Roman" w:cs="Times New Roman"/>
          <w:sz w:val="28"/>
          <w:szCs w:val="28"/>
        </w:rPr>
      </w:pPr>
      <w:proofErr w:type="gramStart"/>
      <w:r w:rsidRPr="000160C5">
        <w:rPr>
          <w:rFonts w:ascii="Times New Roman" w:hAnsi="Times New Roman" w:cs="Times New Roman"/>
          <w:sz w:val="28"/>
          <w:szCs w:val="28"/>
        </w:rPr>
        <w:t xml:space="preserve">Американские нормативные акты требуют предоставлять квартальный отчет не позднее 40 дней после окончания </w:t>
      </w:r>
      <w:r w:rsidR="00CE42B7" w:rsidRPr="000160C5">
        <w:rPr>
          <w:rFonts w:ascii="Times New Roman" w:hAnsi="Times New Roman" w:cs="Times New Roman"/>
          <w:sz w:val="28"/>
          <w:szCs w:val="28"/>
        </w:rPr>
        <w:t xml:space="preserve">каждого из </w:t>
      </w:r>
      <w:r w:rsidR="00FC24AA" w:rsidRPr="000160C5">
        <w:rPr>
          <w:rFonts w:ascii="Times New Roman" w:hAnsi="Times New Roman" w:cs="Times New Roman"/>
          <w:sz w:val="28"/>
          <w:szCs w:val="28"/>
        </w:rPr>
        <w:t xml:space="preserve">первых трех </w:t>
      </w:r>
      <w:r w:rsidRPr="000160C5">
        <w:rPr>
          <w:rFonts w:ascii="Times New Roman" w:hAnsi="Times New Roman" w:cs="Times New Roman"/>
          <w:sz w:val="28"/>
          <w:szCs w:val="28"/>
        </w:rPr>
        <w:t>отчетн</w:t>
      </w:r>
      <w:r w:rsidR="00FC24AA" w:rsidRPr="000160C5">
        <w:rPr>
          <w:rFonts w:ascii="Times New Roman" w:hAnsi="Times New Roman" w:cs="Times New Roman"/>
          <w:sz w:val="28"/>
          <w:szCs w:val="28"/>
        </w:rPr>
        <w:t xml:space="preserve">ых </w:t>
      </w:r>
      <w:r w:rsidRPr="000160C5">
        <w:rPr>
          <w:rFonts w:ascii="Times New Roman" w:hAnsi="Times New Roman" w:cs="Times New Roman"/>
          <w:sz w:val="28"/>
          <w:szCs w:val="28"/>
        </w:rPr>
        <w:t>квартал</w:t>
      </w:r>
      <w:r w:rsidR="00FC24AA" w:rsidRPr="000160C5">
        <w:rPr>
          <w:rFonts w:ascii="Times New Roman" w:hAnsi="Times New Roman" w:cs="Times New Roman"/>
          <w:sz w:val="28"/>
          <w:szCs w:val="28"/>
        </w:rPr>
        <w:t>ов финансового года (обязанность эмитентов подавать отчет за четвертый квартал финансового года отсутствует</w:t>
      </w:r>
      <w:r w:rsidR="00E9451D" w:rsidRPr="000160C5">
        <w:rPr>
          <w:rStyle w:val="a9"/>
          <w:rFonts w:ascii="Times New Roman" w:hAnsi="Times New Roman" w:cs="Times New Roman"/>
          <w:sz w:val="28"/>
          <w:szCs w:val="28"/>
        </w:rPr>
        <w:footnoteReference w:id="39"/>
      </w:r>
      <w:r w:rsidR="00FC24AA" w:rsidRPr="000160C5">
        <w:rPr>
          <w:rFonts w:ascii="Times New Roman" w:hAnsi="Times New Roman" w:cs="Times New Roman"/>
          <w:sz w:val="28"/>
          <w:szCs w:val="28"/>
        </w:rPr>
        <w:t>)</w:t>
      </w:r>
      <w:r w:rsidRPr="000160C5">
        <w:rPr>
          <w:rFonts w:ascii="Times New Roman" w:hAnsi="Times New Roman" w:cs="Times New Roman"/>
          <w:sz w:val="28"/>
          <w:szCs w:val="28"/>
        </w:rPr>
        <w:t xml:space="preserve"> для эмитентов, </w:t>
      </w:r>
      <w:r w:rsidR="00CE42B7" w:rsidRPr="000160C5">
        <w:rPr>
          <w:rFonts w:ascii="Times New Roman" w:hAnsi="Times New Roman" w:cs="Times New Roman"/>
          <w:sz w:val="28"/>
          <w:szCs w:val="28"/>
        </w:rPr>
        <w:t>стоимость обращающих</w:t>
      </w:r>
      <w:r w:rsidRPr="000160C5">
        <w:rPr>
          <w:rFonts w:ascii="Times New Roman" w:hAnsi="Times New Roman" w:cs="Times New Roman"/>
          <w:sz w:val="28"/>
          <w:szCs w:val="28"/>
        </w:rPr>
        <w:t>ся ценны</w:t>
      </w:r>
      <w:r w:rsidR="00CE42B7" w:rsidRPr="000160C5">
        <w:rPr>
          <w:rFonts w:ascii="Times New Roman" w:hAnsi="Times New Roman" w:cs="Times New Roman"/>
          <w:sz w:val="28"/>
          <w:szCs w:val="28"/>
        </w:rPr>
        <w:t>х</w:t>
      </w:r>
      <w:r w:rsidRPr="000160C5">
        <w:rPr>
          <w:rFonts w:ascii="Times New Roman" w:hAnsi="Times New Roman" w:cs="Times New Roman"/>
          <w:sz w:val="28"/>
          <w:szCs w:val="28"/>
        </w:rPr>
        <w:t xml:space="preserve"> бумаг которых превыша</w:t>
      </w:r>
      <w:r w:rsidR="00CE42B7" w:rsidRPr="000160C5">
        <w:rPr>
          <w:rFonts w:ascii="Times New Roman" w:hAnsi="Times New Roman" w:cs="Times New Roman"/>
          <w:sz w:val="28"/>
          <w:szCs w:val="28"/>
        </w:rPr>
        <w:t>е</w:t>
      </w:r>
      <w:r w:rsidRPr="000160C5">
        <w:rPr>
          <w:rFonts w:ascii="Times New Roman" w:hAnsi="Times New Roman" w:cs="Times New Roman"/>
          <w:sz w:val="28"/>
          <w:szCs w:val="28"/>
        </w:rPr>
        <w:t>т 7</w:t>
      </w:r>
      <w:r w:rsidR="00CE42B7" w:rsidRPr="000160C5">
        <w:rPr>
          <w:rFonts w:ascii="Times New Roman" w:hAnsi="Times New Roman" w:cs="Times New Roman"/>
          <w:sz w:val="28"/>
          <w:szCs w:val="28"/>
        </w:rPr>
        <w:t>00 миллионов долларов или находи</w:t>
      </w:r>
      <w:r w:rsidRPr="000160C5">
        <w:rPr>
          <w:rFonts w:ascii="Times New Roman" w:hAnsi="Times New Roman" w:cs="Times New Roman"/>
          <w:sz w:val="28"/>
          <w:szCs w:val="28"/>
        </w:rPr>
        <w:t xml:space="preserve">тся в диапазоне </w:t>
      </w:r>
      <w:r w:rsidR="005148A2" w:rsidRPr="000160C5">
        <w:rPr>
          <w:rFonts w:ascii="Times New Roman" w:hAnsi="Times New Roman" w:cs="Times New Roman"/>
          <w:sz w:val="28"/>
          <w:szCs w:val="28"/>
        </w:rPr>
        <w:t>от 75 до 700 миллионов долларов;</w:t>
      </w:r>
      <w:proofErr w:type="gramEnd"/>
      <w:r w:rsidRPr="000160C5">
        <w:rPr>
          <w:rFonts w:ascii="Times New Roman" w:hAnsi="Times New Roman" w:cs="Times New Roman"/>
          <w:sz w:val="28"/>
          <w:szCs w:val="28"/>
        </w:rPr>
        <w:t xml:space="preserve"> для тех</w:t>
      </w:r>
      <w:r w:rsidR="005148A2" w:rsidRPr="000160C5">
        <w:rPr>
          <w:rFonts w:ascii="Times New Roman" w:hAnsi="Times New Roman" w:cs="Times New Roman"/>
          <w:sz w:val="28"/>
          <w:szCs w:val="28"/>
        </w:rPr>
        <w:t xml:space="preserve"> эмитентов</w:t>
      </w:r>
      <w:r w:rsidRPr="000160C5">
        <w:rPr>
          <w:rFonts w:ascii="Times New Roman" w:hAnsi="Times New Roman" w:cs="Times New Roman"/>
          <w:sz w:val="28"/>
          <w:szCs w:val="28"/>
        </w:rPr>
        <w:t>, чьи ценные бумаги не превышают 75 миллионов долларов</w:t>
      </w:r>
      <w:r w:rsidR="005148A2" w:rsidRPr="000160C5">
        <w:rPr>
          <w:rFonts w:ascii="Times New Roman" w:hAnsi="Times New Roman" w:cs="Times New Roman"/>
          <w:sz w:val="28"/>
          <w:szCs w:val="28"/>
        </w:rPr>
        <w:t xml:space="preserve"> в </w:t>
      </w:r>
      <w:r w:rsidR="005148A2" w:rsidRPr="000160C5">
        <w:rPr>
          <w:rFonts w:ascii="Times New Roman" w:hAnsi="Times New Roman" w:cs="Times New Roman"/>
          <w:sz w:val="28"/>
          <w:szCs w:val="28"/>
        </w:rPr>
        <w:lastRenderedPageBreak/>
        <w:t>своей стоимости</w:t>
      </w:r>
      <w:r w:rsidRPr="000160C5">
        <w:rPr>
          <w:rFonts w:ascii="Times New Roman" w:hAnsi="Times New Roman" w:cs="Times New Roman"/>
          <w:sz w:val="28"/>
          <w:szCs w:val="28"/>
        </w:rPr>
        <w:t xml:space="preserve">, срок раскрытия квартального отчета должен быть не позднее 45 дней после окончания отчетного квартала. </w:t>
      </w:r>
    </w:p>
    <w:p w:rsidR="00E00529" w:rsidRPr="000160C5" w:rsidRDefault="00074BB3" w:rsidP="005901E8">
      <w:pPr>
        <w:keepNext/>
        <w:widowControl w:val="0"/>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Порядок подготовки и опубликования квартального отчета эмитента близок к порядку опубликования годового отчета: отчет подписывается основным должностным лицом и основным финансовым должностным лицом эмитента, затем регистрируется в Комиссии США, которая публикует его в системе </w:t>
      </w:r>
      <w:r w:rsidRPr="000160C5">
        <w:rPr>
          <w:rFonts w:ascii="Times New Roman" w:hAnsi="Times New Roman" w:cs="Times New Roman"/>
          <w:sz w:val="28"/>
          <w:szCs w:val="28"/>
          <w:lang w:val="en-US"/>
        </w:rPr>
        <w:t>EDGAR</w:t>
      </w:r>
      <w:r w:rsidRPr="000160C5">
        <w:rPr>
          <w:rFonts w:ascii="Times New Roman" w:hAnsi="Times New Roman" w:cs="Times New Roman"/>
          <w:sz w:val="28"/>
          <w:szCs w:val="28"/>
        </w:rPr>
        <w:t xml:space="preserve">, а также направляется на фондовую биржу, на которой обращаются ценные бумаги эмитента. </w:t>
      </w:r>
    </w:p>
    <w:p w:rsidR="00E00529" w:rsidRPr="000160C5" w:rsidRDefault="00074BB3" w:rsidP="005901E8">
      <w:pPr>
        <w:keepNext/>
        <w:widowControl w:val="0"/>
        <w:spacing w:after="0" w:line="360" w:lineRule="auto"/>
        <w:ind w:firstLine="709"/>
        <w:jc w:val="both"/>
        <w:rPr>
          <w:rFonts w:ascii="Times New Roman" w:hAnsi="Times New Roman" w:cs="Times New Roman"/>
          <w:sz w:val="28"/>
          <w:szCs w:val="28"/>
        </w:rPr>
      </w:pPr>
      <w:proofErr w:type="gramStart"/>
      <w:r w:rsidRPr="000160C5">
        <w:rPr>
          <w:rFonts w:ascii="Times New Roman" w:hAnsi="Times New Roman" w:cs="Times New Roman"/>
          <w:sz w:val="28"/>
          <w:szCs w:val="28"/>
        </w:rPr>
        <w:t>На основе рассмотренного можно заключить, что подготовка квартального отчета в США не является обременительн</w:t>
      </w:r>
      <w:r w:rsidR="005148A2" w:rsidRPr="000160C5">
        <w:rPr>
          <w:rFonts w:ascii="Times New Roman" w:hAnsi="Times New Roman" w:cs="Times New Roman"/>
          <w:sz w:val="28"/>
          <w:szCs w:val="28"/>
        </w:rPr>
        <w:t>ой</w:t>
      </w:r>
      <w:r w:rsidRPr="000160C5">
        <w:rPr>
          <w:rFonts w:ascii="Times New Roman" w:hAnsi="Times New Roman" w:cs="Times New Roman"/>
          <w:sz w:val="28"/>
          <w:szCs w:val="28"/>
        </w:rPr>
        <w:t xml:space="preserve"> для эмитента, так как </w:t>
      </w:r>
      <w:r w:rsidR="005148A2" w:rsidRPr="000160C5">
        <w:rPr>
          <w:rFonts w:ascii="Times New Roman" w:hAnsi="Times New Roman" w:cs="Times New Roman"/>
          <w:sz w:val="28"/>
          <w:szCs w:val="28"/>
        </w:rPr>
        <w:t>отчет</w:t>
      </w:r>
      <w:r w:rsidRPr="000160C5">
        <w:rPr>
          <w:rFonts w:ascii="Times New Roman" w:hAnsi="Times New Roman" w:cs="Times New Roman"/>
          <w:sz w:val="28"/>
          <w:szCs w:val="28"/>
        </w:rPr>
        <w:t xml:space="preserve"> подается трижды в год в отличие от России, где требуется подавать отчет по завершении каждого квартала, то есть четыре раза за год, а также не является столь массивным по объему раскрываемой информации, в отличие от российской формы ежеквартального отчета, которая предполагает</w:t>
      </w:r>
      <w:proofErr w:type="gramEnd"/>
      <w:r w:rsidRPr="000160C5">
        <w:rPr>
          <w:rFonts w:ascii="Times New Roman" w:hAnsi="Times New Roman" w:cs="Times New Roman"/>
          <w:sz w:val="28"/>
          <w:szCs w:val="28"/>
        </w:rPr>
        <w:t xml:space="preserve"> объемность представляемых в отчете данных</w:t>
      </w:r>
      <w:r w:rsidR="005148A2" w:rsidRPr="000160C5">
        <w:rPr>
          <w:rFonts w:ascii="Times New Roman" w:hAnsi="Times New Roman" w:cs="Times New Roman"/>
          <w:sz w:val="28"/>
          <w:szCs w:val="28"/>
        </w:rPr>
        <w:t xml:space="preserve">, не всегда </w:t>
      </w:r>
      <w:proofErr w:type="gramStart"/>
      <w:r w:rsidR="005148A2" w:rsidRPr="000160C5">
        <w:rPr>
          <w:rFonts w:ascii="Times New Roman" w:hAnsi="Times New Roman" w:cs="Times New Roman"/>
          <w:sz w:val="28"/>
          <w:szCs w:val="28"/>
        </w:rPr>
        <w:t>несу</w:t>
      </w:r>
      <w:r w:rsidR="00650840">
        <w:rPr>
          <w:rFonts w:ascii="Times New Roman" w:hAnsi="Times New Roman" w:cs="Times New Roman"/>
          <w:sz w:val="28"/>
          <w:szCs w:val="28"/>
        </w:rPr>
        <w:t>щие</w:t>
      </w:r>
      <w:proofErr w:type="gramEnd"/>
      <w:r w:rsidR="005148A2" w:rsidRPr="000160C5">
        <w:rPr>
          <w:rFonts w:ascii="Times New Roman" w:hAnsi="Times New Roman" w:cs="Times New Roman"/>
          <w:sz w:val="28"/>
          <w:szCs w:val="28"/>
        </w:rPr>
        <w:t xml:space="preserve"> смысловую нагрузку для инвестора</w:t>
      </w:r>
      <w:r w:rsidRPr="000160C5">
        <w:rPr>
          <w:rFonts w:ascii="Times New Roman" w:hAnsi="Times New Roman" w:cs="Times New Roman"/>
          <w:sz w:val="28"/>
          <w:szCs w:val="28"/>
        </w:rPr>
        <w:t>.</w:t>
      </w:r>
    </w:p>
    <w:p w:rsidR="00AE1C1E" w:rsidRPr="000160C5" w:rsidRDefault="00AE1C1E" w:rsidP="005901E8">
      <w:pPr>
        <w:pStyle w:val="4"/>
        <w:keepLines w:val="0"/>
        <w:widowControl w:val="0"/>
        <w:numPr>
          <w:ilvl w:val="2"/>
          <w:numId w:val="4"/>
        </w:numPr>
        <w:spacing w:before="0"/>
        <w:rPr>
          <w:rFonts w:cs="Times New Roman"/>
          <w:szCs w:val="28"/>
        </w:rPr>
      </w:pPr>
      <w:r w:rsidRPr="000160C5">
        <w:rPr>
          <w:rFonts w:cs="Times New Roman"/>
          <w:szCs w:val="28"/>
        </w:rPr>
        <w:t>Текущий отчет эмитента</w:t>
      </w:r>
      <w:r w:rsidR="004B3B3D" w:rsidRPr="000160C5">
        <w:rPr>
          <w:rFonts w:cs="Times New Roman"/>
          <w:szCs w:val="28"/>
        </w:rPr>
        <w:t xml:space="preserve"> и сообщения о существенных фактах</w:t>
      </w:r>
    </w:p>
    <w:p w:rsidR="004B3B3D" w:rsidRPr="000160C5" w:rsidRDefault="00650BD6" w:rsidP="005901E8">
      <w:pPr>
        <w:pStyle w:val="TNR14"/>
        <w:keepNext/>
        <w:widowControl w:val="0"/>
        <w:rPr>
          <w:rFonts w:cs="Times New Roman"/>
          <w:szCs w:val="28"/>
          <w:lang w:val="ru-RU"/>
        </w:rPr>
      </w:pPr>
      <w:r w:rsidRPr="000160C5">
        <w:rPr>
          <w:rFonts w:cs="Times New Roman"/>
          <w:szCs w:val="28"/>
          <w:lang w:val="ru-RU"/>
        </w:rPr>
        <w:t>Если годовой и квартальный отчеты эмитента дают инвестору информацию по итогам года и квартала соответственно, то текущие отчеты</w:t>
      </w:r>
      <w:r w:rsidR="004B3B3D" w:rsidRPr="000160C5">
        <w:rPr>
          <w:rFonts w:cs="Times New Roman"/>
          <w:szCs w:val="28"/>
          <w:lang w:val="ru-RU"/>
        </w:rPr>
        <w:t xml:space="preserve"> и сообщения о существенных файлах информируют инвестора о важных событиях в </w:t>
      </w:r>
      <w:r w:rsidR="00202233">
        <w:rPr>
          <w:rFonts w:cs="Times New Roman"/>
          <w:szCs w:val="28"/>
          <w:lang w:val="ru-RU"/>
        </w:rPr>
        <w:t xml:space="preserve">хозяйственной </w:t>
      </w:r>
      <w:r w:rsidR="004B3B3D" w:rsidRPr="000160C5">
        <w:rPr>
          <w:rFonts w:cs="Times New Roman"/>
          <w:szCs w:val="28"/>
          <w:lang w:val="ru-RU"/>
        </w:rPr>
        <w:t>деятельности эмитента в режиме реального времени. Таким образом, одна из важнейших задач раскрытия информации в подобной форме - обеспечение более оперативного раскрытия информации о финансово-хозяйственной деятельности эмитента</w:t>
      </w:r>
      <w:r w:rsidR="004B3B3D" w:rsidRPr="000160C5">
        <w:rPr>
          <w:rStyle w:val="a9"/>
          <w:rFonts w:cs="Times New Roman"/>
          <w:szCs w:val="28"/>
          <w:lang w:val="ru-RU"/>
        </w:rPr>
        <w:footnoteReference w:id="40"/>
      </w:r>
      <w:r w:rsidR="004B3B3D" w:rsidRPr="000160C5">
        <w:rPr>
          <w:rFonts w:cs="Times New Roman"/>
          <w:szCs w:val="28"/>
          <w:lang w:val="ru-RU"/>
        </w:rPr>
        <w:t>.</w:t>
      </w:r>
    </w:p>
    <w:p w:rsidR="00A47EF0" w:rsidRPr="000160C5" w:rsidRDefault="00A47EF0" w:rsidP="005901E8">
      <w:pPr>
        <w:pStyle w:val="TNR14"/>
        <w:keepNext/>
        <w:widowControl w:val="0"/>
        <w:rPr>
          <w:rFonts w:cs="Times New Roman"/>
          <w:szCs w:val="28"/>
          <w:lang w:val="ru-RU"/>
        </w:rPr>
      </w:pPr>
      <w:r w:rsidRPr="000160C5">
        <w:rPr>
          <w:rFonts w:cs="Times New Roman"/>
          <w:szCs w:val="28"/>
          <w:lang w:val="ru-RU"/>
        </w:rPr>
        <w:t xml:space="preserve">С точки </w:t>
      </w:r>
      <w:proofErr w:type="gramStart"/>
      <w:r w:rsidRPr="000160C5">
        <w:rPr>
          <w:rFonts w:cs="Times New Roman"/>
          <w:szCs w:val="28"/>
          <w:lang w:val="ru-RU"/>
        </w:rPr>
        <w:t xml:space="preserve">зрения </w:t>
      </w:r>
      <w:r w:rsidR="00DD6B58" w:rsidRPr="000160C5">
        <w:rPr>
          <w:rFonts w:cs="Times New Roman"/>
          <w:szCs w:val="28"/>
          <w:lang w:val="ru-RU"/>
        </w:rPr>
        <w:t>отнесения</w:t>
      </w:r>
      <w:r w:rsidRPr="000160C5">
        <w:rPr>
          <w:rFonts w:cs="Times New Roman"/>
          <w:szCs w:val="28"/>
          <w:lang w:val="ru-RU"/>
        </w:rPr>
        <w:t xml:space="preserve"> данной формы раскрытия информации</w:t>
      </w:r>
      <w:proofErr w:type="gramEnd"/>
      <w:r w:rsidRPr="000160C5">
        <w:rPr>
          <w:rFonts w:cs="Times New Roman"/>
          <w:szCs w:val="28"/>
          <w:lang w:val="ru-RU"/>
        </w:rPr>
        <w:t xml:space="preserve"> </w:t>
      </w:r>
      <w:r w:rsidR="00DD6B58" w:rsidRPr="000160C5">
        <w:rPr>
          <w:rFonts w:cs="Times New Roman"/>
          <w:szCs w:val="28"/>
          <w:lang w:val="ru-RU"/>
        </w:rPr>
        <w:t>к</w:t>
      </w:r>
      <w:r w:rsidRPr="000160C5">
        <w:rPr>
          <w:rFonts w:cs="Times New Roman"/>
          <w:szCs w:val="28"/>
          <w:lang w:val="ru-RU"/>
        </w:rPr>
        <w:t xml:space="preserve"> </w:t>
      </w:r>
      <w:r w:rsidR="00DD6B58" w:rsidRPr="000160C5">
        <w:rPr>
          <w:rFonts w:cs="Times New Roman"/>
          <w:szCs w:val="28"/>
          <w:lang w:val="ru-RU"/>
        </w:rPr>
        <w:t>формам</w:t>
      </w:r>
      <w:r w:rsidRPr="000160C5">
        <w:rPr>
          <w:rFonts w:cs="Times New Roman"/>
          <w:szCs w:val="28"/>
          <w:lang w:val="ru-RU"/>
        </w:rPr>
        <w:t xml:space="preserve"> периодического раскрытия стоит указать, что в классическом понимании данная форма раскрытия не является периодической, так как зависит исключительно от наступления каких-либо событий, а не от истечения временного промежутка (года или квартала). </w:t>
      </w:r>
      <w:proofErr w:type="gramStart"/>
      <w:r w:rsidRPr="000160C5">
        <w:rPr>
          <w:rFonts w:cs="Times New Roman"/>
          <w:szCs w:val="28"/>
          <w:lang w:val="ru-RU"/>
        </w:rPr>
        <w:t xml:space="preserve">Однако американское </w:t>
      </w:r>
      <w:r w:rsidRPr="000160C5">
        <w:rPr>
          <w:rFonts w:cs="Times New Roman"/>
          <w:szCs w:val="28"/>
          <w:lang w:val="ru-RU"/>
        </w:rPr>
        <w:lastRenderedPageBreak/>
        <w:t>законод</w:t>
      </w:r>
      <w:r w:rsidR="00222CD6" w:rsidRPr="000160C5">
        <w:rPr>
          <w:rFonts w:cs="Times New Roman"/>
          <w:szCs w:val="28"/>
          <w:lang w:val="ru-RU"/>
        </w:rPr>
        <w:t>ательство именует текущие отчеты</w:t>
      </w:r>
      <w:r w:rsidRPr="000160C5">
        <w:rPr>
          <w:rFonts w:cs="Times New Roman"/>
          <w:szCs w:val="28"/>
          <w:lang w:val="ru-RU"/>
        </w:rPr>
        <w:t xml:space="preserve"> эмитента периодическими (</w:t>
      </w:r>
      <w:r w:rsidRPr="000160C5">
        <w:rPr>
          <w:rFonts w:cs="Times New Roman"/>
          <w:szCs w:val="28"/>
        </w:rPr>
        <w:t>periodic</w:t>
      </w:r>
      <w:r w:rsidRPr="000160C5">
        <w:rPr>
          <w:rFonts w:cs="Times New Roman"/>
          <w:szCs w:val="28"/>
          <w:lang w:val="ru-RU"/>
        </w:rPr>
        <w:t xml:space="preserve"> </w:t>
      </w:r>
      <w:r w:rsidRPr="000160C5">
        <w:rPr>
          <w:rFonts w:cs="Times New Roman"/>
          <w:szCs w:val="28"/>
        </w:rPr>
        <w:t>filings</w:t>
      </w:r>
      <w:r w:rsidRPr="000160C5">
        <w:rPr>
          <w:rFonts w:cs="Times New Roman"/>
          <w:szCs w:val="28"/>
          <w:lang w:val="ru-RU"/>
        </w:rPr>
        <w:t>), а сообщения о существенных фактах, предусмотренные российским законодательством, сопоставимы</w:t>
      </w:r>
      <w:r w:rsidR="00222CD6" w:rsidRPr="000160C5">
        <w:rPr>
          <w:rFonts w:cs="Times New Roman"/>
          <w:szCs w:val="28"/>
          <w:lang w:val="ru-RU"/>
        </w:rPr>
        <w:t xml:space="preserve"> с</w:t>
      </w:r>
      <w:r w:rsidRPr="000160C5">
        <w:rPr>
          <w:rFonts w:cs="Times New Roman"/>
          <w:szCs w:val="28"/>
          <w:lang w:val="ru-RU"/>
        </w:rPr>
        <w:t xml:space="preserve"> </w:t>
      </w:r>
      <w:r w:rsidR="00DD6B58" w:rsidRPr="000160C5">
        <w:rPr>
          <w:rFonts w:cs="Times New Roman"/>
          <w:szCs w:val="28"/>
          <w:lang w:val="ru-RU"/>
        </w:rPr>
        <w:t xml:space="preserve">американскими </w:t>
      </w:r>
      <w:r w:rsidRPr="000160C5">
        <w:rPr>
          <w:rFonts w:cs="Times New Roman"/>
          <w:szCs w:val="28"/>
          <w:lang w:val="ru-RU"/>
        </w:rPr>
        <w:t>текущим</w:t>
      </w:r>
      <w:r w:rsidR="00222CD6" w:rsidRPr="000160C5">
        <w:rPr>
          <w:rFonts w:cs="Times New Roman"/>
          <w:szCs w:val="28"/>
          <w:lang w:val="ru-RU"/>
        </w:rPr>
        <w:t>и</w:t>
      </w:r>
      <w:r w:rsidRPr="000160C5">
        <w:rPr>
          <w:rFonts w:cs="Times New Roman"/>
          <w:szCs w:val="28"/>
          <w:lang w:val="ru-RU"/>
        </w:rPr>
        <w:t xml:space="preserve"> отчетам</w:t>
      </w:r>
      <w:r w:rsidR="00222CD6" w:rsidRPr="000160C5">
        <w:rPr>
          <w:rFonts w:cs="Times New Roman"/>
          <w:szCs w:val="28"/>
          <w:lang w:val="ru-RU"/>
        </w:rPr>
        <w:t>и</w:t>
      </w:r>
      <w:r w:rsidRPr="000160C5">
        <w:rPr>
          <w:rFonts w:cs="Times New Roman"/>
          <w:szCs w:val="28"/>
          <w:lang w:val="ru-RU"/>
        </w:rPr>
        <w:t>.</w:t>
      </w:r>
      <w:proofErr w:type="gramEnd"/>
      <w:r w:rsidRPr="000160C5">
        <w:rPr>
          <w:rFonts w:cs="Times New Roman"/>
          <w:szCs w:val="28"/>
          <w:lang w:val="ru-RU"/>
        </w:rPr>
        <w:t xml:space="preserve"> В </w:t>
      </w:r>
      <w:proofErr w:type="gramStart"/>
      <w:r w:rsidRPr="000160C5">
        <w:rPr>
          <w:rFonts w:cs="Times New Roman"/>
          <w:szCs w:val="28"/>
          <w:lang w:val="ru-RU"/>
        </w:rPr>
        <w:t>связи</w:t>
      </w:r>
      <w:proofErr w:type="gramEnd"/>
      <w:r w:rsidRPr="000160C5">
        <w:rPr>
          <w:rFonts w:cs="Times New Roman"/>
          <w:szCs w:val="28"/>
          <w:lang w:val="ru-RU"/>
        </w:rPr>
        <w:t xml:space="preserve"> с чем автору </w:t>
      </w:r>
      <w:r w:rsidR="00222CD6" w:rsidRPr="000160C5">
        <w:rPr>
          <w:rFonts w:cs="Times New Roman"/>
          <w:szCs w:val="28"/>
          <w:lang w:val="ru-RU"/>
        </w:rPr>
        <w:t xml:space="preserve">настоящей </w:t>
      </w:r>
      <w:r w:rsidRPr="000160C5">
        <w:rPr>
          <w:rFonts w:cs="Times New Roman"/>
          <w:szCs w:val="28"/>
          <w:lang w:val="ru-RU"/>
        </w:rPr>
        <w:t xml:space="preserve">работы считается целесообразным рассмотреть данные формы в рамках </w:t>
      </w:r>
      <w:r w:rsidR="00202233">
        <w:rPr>
          <w:rFonts w:cs="Times New Roman"/>
          <w:szCs w:val="28"/>
          <w:lang w:val="ru-RU"/>
        </w:rPr>
        <w:t xml:space="preserve">группы </w:t>
      </w:r>
      <w:r w:rsidRPr="000160C5">
        <w:rPr>
          <w:rFonts w:cs="Times New Roman"/>
          <w:szCs w:val="28"/>
          <w:lang w:val="ru-RU"/>
        </w:rPr>
        <w:t xml:space="preserve">периодического раскрытия информации. </w:t>
      </w:r>
    </w:p>
    <w:p w:rsidR="004B3B3D" w:rsidRPr="000160C5" w:rsidRDefault="004B3B3D" w:rsidP="005901E8">
      <w:pPr>
        <w:pStyle w:val="TNR14"/>
        <w:keepNext/>
        <w:widowControl w:val="0"/>
        <w:rPr>
          <w:rFonts w:cs="Times New Roman"/>
          <w:szCs w:val="28"/>
          <w:lang w:val="ru-RU"/>
        </w:rPr>
      </w:pPr>
      <w:r w:rsidRPr="000160C5">
        <w:rPr>
          <w:rFonts w:cs="Times New Roman"/>
          <w:szCs w:val="28"/>
          <w:lang w:val="ru-RU"/>
        </w:rPr>
        <w:t>Закон о РЦБ определяет существенные факты как сведения, которые в случае их раскрытия могут оказать существенное влияние на стоимость или котировки эмиссионных ценных бумаг эмитента.</w:t>
      </w:r>
    </w:p>
    <w:p w:rsidR="005866D6" w:rsidRPr="000160C5" w:rsidRDefault="005866D6" w:rsidP="005901E8">
      <w:pPr>
        <w:pStyle w:val="TNR14"/>
        <w:keepNext/>
        <w:widowControl w:val="0"/>
        <w:rPr>
          <w:rFonts w:cs="Times New Roman"/>
          <w:szCs w:val="28"/>
          <w:lang w:val="ru-RU"/>
        </w:rPr>
      </w:pPr>
      <w:r w:rsidRPr="000160C5">
        <w:rPr>
          <w:rFonts w:cs="Times New Roman"/>
          <w:szCs w:val="28"/>
          <w:lang w:val="ru-RU"/>
        </w:rPr>
        <w:t xml:space="preserve">Сайт Комиссии США определяет текущий </w:t>
      </w:r>
      <w:r w:rsidR="00E045E2" w:rsidRPr="000160C5">
        <w:rPr>
          <w:rFonts w:cs="Times New Roman"/>
          <w:szCs w:val="28"/>
          <w:lang w:val="ru-RU"/>
        </w:rPr>
        <w:t>отчет эмитента в качестве документа, раскрывающего информацию о наиболее значимых корпоративных событиях, о которых должны знать акционеры</w:t>
      </w:r>
      <w:r w:rsidR="00E045E2" w:rsidRPr="000160C5">
        <w:rPr>
          <w:rStyle w:val="a9"/>
          <w:rFonts w:cs="Times New Roman"/>
          <w:szCs w:val="28"/>
          <w:lang w:val="ru-RU"/>
        </w:rPr>
        <w:footnoteReference w:id="41"/>
      </w:r>
      <w:r w:rsidR="00E045E2" w:rsidRPr="000160C5">
        <w:rPr>
          <w:rFonts w:cs="Times New Roman"/>
          <w:szCs w:val="28"/>
          <w:lang w:val="ru-RU"/>
        </w:rPr>
        <w:t xml:space="preserve">. </w:t>
      </w:r>
    </w:p>
    <w:p w:rsidR="008C380F" w:rsidRPr="000160C5" w:rsidRDefault="008C380F" w:rsidP="005901E8">
      <w:pPr>
        <w:pStyle w:val="TNR14"/>
        <w:keepNext/>
        <w:widowControl w:val="0"/>
        <w:rPr>
          <w:rFonts w:cs="Times New Roman"/>
          <w:szCs w:val="28"/>
          <w:lang w:val="ru-RU"/>
        </w:rPr>
      </w:pPr>
      <w:r w:rsidRPr="000160C5">
        <w:rPr>
          <w:rFonts w:cs="Times New Roman"/>
          <w:b/>
          <w:szCs w:val="28"/>
          <w:u w:val="single"/>
          <w:lang w:val="ru-RU"/>
        </w:rPr>
        <w:t>Субъекты</w:t>
      </w:r>
      <w:r w:rsidRPr="000160C5">
        <w:rPr>
          <w:rFonts w:cs="Times New Roman"/>
          <w:szCs w:val="28"/>
          <w:lang w:val="ru-RU"/>
        </w:rPr>
        <w:t xml:space="preserve">. Обязанность по раскрытию информации в форме сообщений о существенных фактах распространяется на эмитентов, обязанных раскрывать информацию в форме ежеквартального отчета, то есть </w:t>
      </w:r>
      <w:r w:rsidR="00DD6B58" w:rsidRPr="000160C5">
        <w:rPr>
          <w:rFonts w:cs="Times New Roman"/>
          <w:szCs w:val="28"/>
          <w:lang w:val="ru-RU"/>
        </w:rPr>
        <w:t xml:space="preserve">на </w:t>
      </w:r>
      <w:r w:rsidRPr="000160C5">
        <w:rPr>
          <w:rFonts w:cs="Times New Roman"/>
          <w:szCs w:val="28"/>
          <w:lang w:val="ru-RU"/>
        </w:rPr>
        <w:t>эмитент</w:t>
      </w:r>
      <w:r w:rsidR="00DD6B58" w:rsidRPr="000160C5">
        <w:rPr>
          <w:rFonts w:cs="Times New Roman"/>
          <w:szCs w:val="28"/>
          <w:lang w:val="ru-RU"/>
        </w:rPr>
        <w:t>ов</w:t>
      </w:r>
      <w:r w:rsidRPr="000160C5">
        <w:rPr>
          <w:rFonts w:cs="Times New Roman"/>
          <w:szCs w:val="28"/>
          <w:lang w:val="ru-RU"/>
        </w:rPr>
        <w:t xml:space="preserve">, чьи ценные бумаги обращаются публично. </w:t>
      </w:r>
    </w:p>
    <w:p w:rsidR="008C380F" w:rsidRPr="000160C5" w:rsidRDefault="008C380F" w:rsidP="005901E8">
      <w:pPr>
        <w:pStyle w:val="TNR14"/>
        <w:keepNext/>
        <w:widowControl w:val="0"/>
        <w:rPr>
          <w:rFonts w:cs="Times New Roman"/>
          <w:szCs w:val="28"/>
          <w:lang w:val="ru-RU"/>
        </w:rPr>
      </w:pPr>
      <w:r w:rsidRPr="000160C5">
        <w:rPr>
          <w:rFonts w:cs="Times New Roman"/>
          <w:szCs w:val="28"/>
          <w:lang w:val="ru-RU"/>
        </w:rPr>
        <w:t xml:space="preserve">Американские нормативные акты </w:t>
      </w:r>
      <w:r w:rsidR="00DD6B58" w:rsidRPr="000160C5">
        <w:rPr>
          <w:rFonts w:cs="Times New Roman"/>
          <w:szCs w:val="28"/>
          <w:lang w:val="ru-RU"/>
        </w:rPr>
        <w:t>аналогично</w:t>
      </w:r>
      <w:r w:rsidRPr="000160C5">
        <w:rPr>
          <w:rFonts w:cs="Times New Roman"/>
          <w:szCs w:val="28"/>
          <w:lang w:val="ru-RU"/>
        </w:rPr>
        <w:t xml:space="preserve"> </w:t>
      </w:r>
      <w:r w:rsidR="00DD6B58" w:rsidRPr="000160C5">
        <w:rPr>
          <w:rFonts w:cs="Times New Roman"/>
          <w:szCs w:val="28"/>
          <w:lang w:val="ru-RU"/>
        </w:rPr>
        <w:t>содержат требование по</w:t>
      </w:r>
      <w:r w:rsidRPr="000160C5">
        <w:rPr>
          <w:rFonts w:cs="Times New Roman"/>
          <w:szCs w:val="28"/>
          <w:lang w:val="ru-RU"/>
        </w:rPr>
        <w:t xml:space="preserve"> </w:t>
      </w:r>
      <w:r w:rsidR="00DD6B58" w:rsidRPr="000160C5">
        <w:rPr>
          <w:rFonts w:cs="Times New Roman"/>
          <w:szCs w:val="28"/>
          <w:lang w:val="ru-RU"/>
        </w:rPr>
        <w:t>опубликованию текущих</w:t>
      </w:r>
      <w:r w:rsidRPr="000160C5">
        <w:rPr>
          <w:rFonts w:cs="Times New Roman"/>
          <w:szCs w:val="28"/>
          <w:lang w:val="ru-RU"/>
        </w:rPr>
        <w:t xml:space="preserve"> отчет</w:t>
      </w:r>
      <w:r w:rsidR="00DD6B58" w:rsidRPr="000160C5">
        <w:rPr>
          <w:rFonts w:cs="Times New Roman"/>
          <w:szCs w:val="28"/>
          <w:lang w:val="ru-RU"/>
        </w:rPr>
        <w:t>ов, распространяющееся на</w:t>
      </w:r>
      <w:r w:rsidRPr="000160C5">
        <w:rPr>
          <w:rFonts w:cs="Times New Roman"/>
          <w:szCs w:val="28"/>
          <w:lang w:val="ru-RU"/>
        </w:rPr>
        <w:t xml:space="preserve"> тех эмитентов, которы</w:t>
      </w:r>
      <w:r w:rsidR="00DD6B58" w:rsidRPr="000160C5">
        <w:rPr>
          <w:rFonts w:cs="Times New Roman"/>
          <w:szCs w:val="28"/>
          <w:lang w:val="ru-RU"/>
        </w:rPr>
        <w:t>е</w:t>
      </w:r>
      <w:r w:rsidRPr="000160C5">
        <w:rPr>
          <w:rFonts w:cs="Times New Roman"/>
          <w:szCs w:val="28"/>
          <w:lang w:val="ru-RU"/>
        </w:rPr>
        <w:t xml:space="preserve"> </w:t>
      </w:r>
      <w:r w:rsidR="00DD6B58" w:rsidRPr="000160C5">
        <w:rPr>
          <w:rFonts w:cs="Times New Roman"/>
          <w:szCs w:val="28"/>
          <w:lang w:val="ru-RU"/>
        </w:rPr>
        <w:t>подпадают под</w:t>
      </w:r>
      <w:r w:rsidRPr="000160C5">
        <w:rPr>
          <w:rFonts w:cs="Times New Roman"/>
          <w:szCs w:val="28"/>
          <w:lang w:val="ru-RU"/>
        </w:rPr>
        <w:t xml:space="preserve"> обязанность по раскрытию информации в форме квартальных отчетов.  </w:t>
      </w:r>
    </w:p>
    <w:p w:rsidR="008E5A15" w:rsidRPr="000160C5" w:rsidRDefault="008E5A15" w:rsidP="005901E8">
      <w:pPr>
        <w:pStyle w:val="TNR14"/>
        <w:keepNext/>
        <w:widowControl w:val="0"/>
        <w:rPr>
          <w:rFonts w:cs="Times New Roman"/>
          <w:szCs w:val="28"/>
          <w:lang w:val="ru-RU"/>
        </w:rPr>
      </w:pPr>
      <w:r w:rsidRPr="000160C5">
        <w:rPr>
          <w:rFonts w:cs="Times New Roman"/>
          <w:szCs w:val="28"/>
          <w:lang w:val="ru-RU"/>
        </w:rPr>
        <w:t>Таким образом, американский и российский законодатель вновь придерживаются единого подхода к определению субъектов, обязанных раскрывать информацию в форме текущего отчета.</w:t>
      </w:r>
    </w:p>
    <w:p w:rsidR="00AD2C54" w:rsidRPr="000160C5" w:rsidRDefault="00B86BC3" w:rsidP="005901E8">
      <w:pPr>
        <w:pStyle w:val="TNR14"/>
        <w:keepNext/>
        <w:widowControl w:val="0"/>
        <w:rPr>
          <w:rFonts w:cs="Times New Roman"/>
          <w:szCs w:val="28"/>
          <w:lang w:val="ru-RU"/>
        </w:rPr>
      </w:pPr>
      <w:r w:rsidRPr="000160C5">
        <w:rPr>
          <w:rFonts w:cs="Times New Roman"/>
          <w:b/>
          <w:szCs w:val="28"/>
          <w:u w:val="single"/>
          <w:lang w:val="ru-RU"/>
        </w:rPr>
        <w:t>Содержание</w:t>
      </w:r>
      <w:r w:rsidRPr="000160C5">
        <w:rPr>
          <w:rFonts w:cs="Times New Roman"/>
          <w:szCs w:val="28"/>
          <w:lang w:val="ru-RU"/>
        </w:rPr>
        <w:t xml:space="preserve">. </w:t>
      </w:r>
      <w:r w:rsidR="004F5DF8" w:rsidRPr="000160C5">
        <w:rPr>
          <w:rFonts w:cs="Times New Roman"/>
          <w:szCs w:val="28"/>
          <w:lang w:val="ru-RU"/>
        </w:rPr>
        <w:t>Сообщения о существенных фактах и текущие  отчеты эмитента представляют собой краткое новостное сообщение</w:t>
      </w:r>
      <w:r w:rsidR="00E37875" w:rsidRPr="000160C5">
        <w:rPr>
          <w:rFonts w:cs="Times New Roman"/>
          <w:szCs w:val="28"/>
          <w:lang w:val="ru-RU"/>
        </w:rPr>
        <w:t xml:space="preserve">, содержащее сведения о важных событиях, произошедших в деятельности эмитента и потенциально влияющих на стоимость ценных бумаг, а значит, и на решения, </w:t>
      </w:r>
      <w:r w:rsidR="00E37875" w:rsidRPr="000160C5">
        <w:rPr>
          <w:rFonts w:cs="Times New Roman"/>
          <w:szCs w:val="28"/>
          <w:lang w:val="ru-RU"/>
        </w:rPr>
        <w:lastRenderedPageBreak/>
        <w:t>принимаемые инвестором.</w:t>
      </w:r>
      <w:r w:rsidR="00AD2C54" w:rsidRPr="000160C5">
        <w:rPr>
          <w:rFonts w:cs="Times New Roman"/>
          <w:szCs w:val="28"/>
          <w:lang w:val="ru-RU"/>
        </w:rPr>
        <w:t xml:space="preserve"> </w:t>
      </w:r>
      <w:proofErr w:type="gramStart"/>
      <w:r w:rsidR="00AD2C54" w:rsidRPr="000160C5">
        <w:rPr>
          <w:rFonts w:cs="Times New Roman"/>
          <w:szCs w:val="28"/>
          <w:lang w:val="ru-RU"/>
        </w:rPr>
        <w:t>Список тех событий, о которых эмитент должен оперативно сообщать, определен достаточно широко и в российском</w:t>
      </w:r>
      <w:r w:rsidR="00624E91" w:rsidRPr="000160C5">
        <w:rPr>
          <w:rFonts w:cs="Times New Roman"/>
          <w:szCs w:val="28"/>
          <w:lang w:val="ru-RU"/>
        </w:rPr>
        <w:t xml:space="preserve"> (50 пунктов)</w:t>
      </w:r>
      <w:r w:rsidR="00AD2C54" w:rsidRPr="000160C5">
        <w:rPr>
          <w:rFonts w:cs="Times New Roman"/>
          <w:szCs w:val="28"/>
          <w:lang w:val="ru-RU"/>
        </w:rPr>
        <w:t>, и американском</w:t>
      </w:r>
      <w:r w:rsidR="00624E91" w:rsidRPr="000160C5">
        <w:rPr>
          <w:rFonts w:cs="Times New Roman"/>
          <w:szCs w:val="28"/>
          <w:lang w:val="ru-RU"/>
        </w:rPr>
        <w:t xml:space="preserve"> (31 пункт)</w:t>
      </w:r>
      <w:r w:rsidR="00AD2C54" w:rsidRPr="000160C5">
        <w:rPr>
          <w:rFonts w:cs="Times New Roman"/>
          <w:szCs w:val="28"/>
          <w:lang w:val="ru-RU"/>
        </w:rPr>
        <w:t xml:space="preserve"> законодательстве (см. </w:t>
      </w:r>
      <w:hyperlink w:anchor="_Приложение_3._Сравнительная" w:history="1">
        <w:r w:rsidR="00624E91" w:rsidRPr="000160C5">
          <w:rPr>
            <w:rStyle w:val="aa"/>
            <w:rFonts w:cs="Times New Roman"/>
            <w:szCs w:val="28"/>
            <w:lang w:val="ru-RU"/>
          </w:rPr>
          <w:t>Приложение 3</w:t>
        </w:r>
      </w:hyperlink>
      <w:r w:rsidR="00AD2C54" w:rsidRPr="000160C5">
        <w:rPr>
          <w:rFonts w:cs="Times New Roman"/>
          <w:szCs w:val="28"/>
          <w:lang w:val="ru-RU"/>
        </w:rPr>
        <w:t>), причем списки эти не являются закрытыми, а наоборот, позволяют эмитенту самостоятельно раскрывать также сведения, которые</w:t>
      </w:r>
      <w:r w:rsidR="00624E91" w:rsidRPr="000160C5">
        <w:rPr>
          <w:rFonts w:cs="Times New Roman"/>
          <w:szCs w:val="28"/>
          <w:lang w:val="ru-RU"/>
        </w:rPr>
        <w:t>,</w:t>
      </w:r>
      <w:r w:rsidR="00AD2C54" w:rsidRPr="000160C5">
        <w:rPr>
          <w:rFonts w:cs="Times New Roman"/>
          <w:szCs w:val="28"/>
          <w:lang w:val="ru-RU"/>
        </w:rPr>
        <w:t xml:space="preserve"> по его мнению, могут оказаться существенными для инвестора (</w:t>
      </w:r>
      <w:proofErr w:type="spellStart"/>
      <w:r w:rsidR="00AD2C54" w:rsidRPr="000160C5">
        <w:rPr>
          <w:rFonts w:cs="Times New Roman"/>
          <w:szCs w:val="28"/>
          <w:lang w:val="ru-RU"/>
        </w:rPr>
        <w:t>пп</w:t>
      </w:r>
      <w:proofErr w:type="spellEnd"/>
      <w:r w:rsidR="00AD2C54" w:rsidRPr="000160C5">
        <w:rPr>
          <w:rFonts w:cs="Times New Roman"/>
          <w:szCs w:val="28"/>
          <w:lang w:val="ru-RU"/>
        </w:rPr>
        <w:t>. 50 п. 14 ст. 30 Закона о РЦБ и Раздел 8</w:t>
      </w:r>
      <w:proofErr w:type="gramEnd"/>
      <w:r w:rsidR="00AD2C54" w:rsidRPr="000160C5">
        <w:rPr>
          <w:rFonts w:cs="Times New Roman"/>
          <w:szCs w:val="28"/>
          <w:lang w:val="ru-RU"/>
        </w:rPr>
        <w:t xml:space="preserve"> текущего отчета эмитента).</w:t>
      </w:r>
      <w:r w:rsidR="00F37BB8" w:rsidRPr="000160C5">
        <w:rPr>
          <w:rFonts w:cs="Times New Roman"/>
          <w:szCs w:val="28"/>
          <w:lang w:val="ru-RU"/>
        </w:rPr>
        <w:t xml:space="preserve"> Красочным примером </w:t>
      </w:r>
      <w:r w:rsidR="00EF701F" w:rsidRPr="000160C5">
        <w:rPr>
          <w:rFonts w:cs="Times New Roman"/>
          <w:szCs w:val="28"/>
          <w:lang w:val="ru-RU"/>
        </w:rPr>
        <w:t xml:space="preserve">такого </w:t>
      </w:r>
      <w:r w:rsidR="00F37BB8" w:rsidRPr="000160C5">
        <w:rPr>
          <w:rFonts w:cs="Times New Roman"/>
          <w:szCs w:val="28"/>
          <w:lang w:val="ru-RU"/>
        </w:rPr>
        <w:t>добров</w:t>
      </w:r>
      <w:r w:rsidR="00EF701F" w:rsidRPr="000160C5">
        <w:rPr>
          <w:rFonts w:cs="Times New Roman"/>
          <w:szCs w:val="28"/>
          <w:lang w:val="ru-RU"/>
        </w:rPr>
        <w:t xml:space="preserve">ольного раскрытия информации может послужить опубликование компанией </w:t>
      </w:r>
      <w:r w:rsidR="00EF701F" w:rsidRPr="000160C5">
        <w:rPr>
          <w:rFonts w:cs="Times New Roman"/>
          <w:szCs w:val="28"/>
        </w:rPr>
        <w:t>Apple</w:t>
      </w:r>
      <w:r w:rsidR="00EF701F" w:rsidRPr="000160C5">
        <w:rPr>
          <w:rFonts w:cs="Times New Roman"/>
          <w:szCs w:val="28"/>
          <w:lang w:val="ru-RU"/>
        </w:rPr>
        <w:t xml:space="preserve"> </w:t>
      </w:r>
      <w:r w:rsidR="00EF701F" w:rsidRPr="000160C5">
        <w:rPr>
          <w:rFonts w:cs="Times New Roman"/>
          <w:szCs w:val="28"/>
        </w:rPr>
        <w:t>Inc</w:t>
      </w:r>
      <w:r w:rsidR="00EF701F" w:rsidRPr="000160C5">
        <w:rPr>
          <w:rFonts w:cs="Times New Roman"/>
          <w:szCs w:val="28"/>
          <w:lang w:val="ru-RU"/>
        </w:rPr>
        <w:t>. в январе 2011 года информации о том, что ее основатель и главный управляющий Стив Джобс уходит в бессрочный отпуск по состоянию здоровья. Раск</w:t>
      </w:r>
      <w:r w:rsidR="00FE2962" w:rsidRPr="000160C5">
        <w:rPr>
          <w:rFonts w:cs="Times New Roman"/>
          <w:szCs w:val="28"/>
          <w:lang w:val="ru-RU"/>
        </w:rPr>
        <w:t>рытие данной информации обрушило</w:t>
      </w:r>
      <w:r w:rsidR="00EF701F" w:rsidRPr="000160C5">
        <w:rPr>
          <w:rFonts w:cs="Times New Roman"/>
          <w:szCs w:val="28"/>
          <w:lang w:val="ru-RU"/>
        </w:rPr>
        <w:t xml:space="preserve"> акции компании на Франкфуртской бирже на 9%, </w:t>
      </w:r>
      <w:r w:rsidR="00BF314C" w:rsidRPr="000160C5">
        <w:rPr>
          <w:rFonts w:cs="Times New Roman"/>
          <w:szCs w:val="28"/>
          <w:lang w:val="ru-RU"/>
        </w:rPr>
        <w:t>а</w:t>
      </w:r>
      <w:r w:rsidR="00EF701F" w:rsidRPr="000160C5">
        <w:rPr>
          <w:rFonts w:cs="Times New Roman"/>
          <w:szCs w:val="28"/>
          <w:lang w:val="ru-RU"/>
        </w:rPr>
        <w:t xml:space="preserve"> затем на торгах в Нью-Йорке – на 4%.  </w:t>
      </w:r>
    </w:p>
    <w:p w:rsidR="00915920" w:rsidRPr="000160C5" w:rsidRDefault="00915920" w:rsidP="005901E8">
      <w:pPr>
        <w:pStyle w:val="TNR14"/>
        <w:keepNext/>
        <w:widowControl w:val="0"/>
        <w:rPr>
          <w:rFonts w:cs="Times New Roman"/>
          <w:szCs w:val="28"/>
          <w:lang w:val="ru-RU"/>
        </w:rPr>
      </w:pPr>
      <w:r w:rsidRPr="000160C5">
        <w:rPr>
          <w:rFonts w:cs="Times New Roman"/>
          <w:b/>
          <w:szCs w:val="28"/>
          <w:u w:val="single"/>
          <w:lang w:val="ru-RU"/>
        </w:rPr>
        <w:t>Порядок и сроки.</w:t>
      </w:r>
      <w:r w:rsidRPr="000160C5">
        <w:rPr>
          <w:rFonts w:cs="Times New Roman"/>
          <w:szCs w:val="28"/>
          <w:lang w:val="ru-RU"/>
        </w:rPr>
        <w:t xml:space="preserve"> </w:t>
      </w:r>
      <w:r w:rsidR="00F459CC" w:rsidRPr="000160C5">
        <w:rPr>
          <w:rFonts w:cs="Times New Roman"/>
          <w:szCs w:val="28"/>
          <w:lang w:val="ru-RU"/>
        </w:rPr>
        <w:t>Ввиду преследования цели оперативного раскрытия информации, сообщения о существенных фактах и текущие отчеты эмитенты должны публиковаться в короткие сроки. Сообщения о существенных фактах публикуются не позднее одного дня с момента наступления существенного факта в ленте новостей и не позднее двух дней на странице в сети Интернет. Текущие отчеты эмитента публикуются не позднее четырех  рабочих дней с момента наступления соответствующего события</w:t>
      </w:r>
      <w:r w:rsidR="00414375" w:rsidRPr="000160C5">
        <w:rPr>
          <w:rFonts w:cs="Times New Roman"/>
          <w:szCs w:val="28"/>
          <w:lang w:val="ru-RU"/>
        </w:rPr>
        <w:t xml:space="preserve"> путем регистрации текущего отчета в Комиссии США для дальнейшего его опубликования в системе </w:t>
      </w:r>
      <w:r w:rsidR="00414375" w:rsidRPr="000160C5">
        <w:rPr>
          <w:rFonts w:cs="Times New Roman"/>
          <w:szCs w:val="28"/>
        </w:rPr>
        <w:t>EDGAR</w:t>
      </w:r>
      <w:r w:rsidR="005E4E3C" w:rsidRPr="000160C5">
        <w:rPr>
          <w:rFonts w:cs="Times New Roman"/>
          <w:szCs w:val="28"/>
          <w:lang w:val="ru-RU"/>
        </w:rPr>
        <w:t>, а также направляются на биржу, на которой обращаются ценные бумаги эмитента</w:t>
      </w:r>
      <w:r w:rsidR="00F459CC" w:rsidRPr="000160C5">
        <w:rPr>
          <w:rFonts w:cs="Times New Roman"/>
          <w:szCs w:val="28"/>
          <w:lang w:val="ru-RU"/>
        </w:rPr>
        <w:t xml:space="preserve">.  </w:t>
      </w:r>
    </w:p>
    <w:p w:rsidR="00246F12" w:rsidRDefault="00EC14B2" w:rsidP="005901E8">
      <w:pPr>
        <w:pStyle w:val="TNR14"/>
        <w:keepNext/>
        <w:widowControl w:val="0"/>
        <w:rPr>
          <w:rFonts w:cs="Times New Roman"/>
          <w:szCs w:val="28"/>
          <w:lang w:val="ru-RU"/>
        </w:rPr>
      </w:pPr>
      <w:r w:rsidRPr="000160C5">
        <w:rPr>
          <w:rFonts w:cs="Times New Roman"/>
          <w:szCs w:val="28"/>
          <w:lang w:val="ru-RU"/>
        </w:rPr>
        <w:t xml:space="preserve">Сообщение о существенном факте подписывается единоличным исполнительным органом эмитента или иным уполномоченным лицом. На каждый существенный факт составляется отдельное сообщение. </w:t>
      </w:r>
    </w:p>
    <w:p w:rsidR="005E4E3C" w:rsidRPr="000160C5" w:rsidRDefault="005E4E3C" w:rsidP="005901E8">
      <w:pPr>
        <w:pStyle w:val="TNR14"/>
        <w:keepNext/>
        <w:widowControl w:val="0"/>
        <w:rPr>
          <w:rFonts w:cs="Times New Roman"/>
          <w:szCs w:val="28"/>
          <w:lang w:val="ru-RU"/>
        </w:rPr>
      </w:pPr>
      <w:r w:rsidRPr="000160C5">
        <w:rPr>
          <w:rFonts w:cs="Times New Roman"/>
          <w:szCs w:val="28"/>
          <w:lang w:val="ru-RU"/>
        </w:rPr>
        <w:t xml:space="preserve">Текущий отчет эмитента подписывается уполномоченным представителем обслуживающего эмитента агента. </w:t>
      </w:r>
      <w:r w:rsidR="00F37BB8" w:rsidRPr="000160C5">
        <w:rPr>
          <w:rFonts w:cs="Times New Roman"/>
          <w:szCs w:val="28"/>
          <w:lang w:val="ru-RU"/>
        </w:rPr>
        <w:t xml:space="preserve">В отличие от российского </w:t>
      </w:r>
      <w:r w:rsidR="00C977D1" w:rsidRPr="000160C5">
        <w:rPr>
          <w:rFonts w:cs="Times New Roman"/>
          <w:szCs w:val="28"/>
          <w:lang w:val="ru-RU"/>
        </w:rPr>
        <w:t>подхода</w:t>
      </w:r>
      <w:r w:rsidR="00F37BB8" w:rsidRPr="000160C5">
        <w:rPr>
          <w:rFonts w:cs="Times New Roman"/>
          <w:szCs w:val="28"/>
          <w:lang w:val="ru-RU"/>
        </w:rPr>
        <w:t xml:space="preserve"> американский законодатель предусмотрел, что в</w:t>
      </w:r>
      <w:r w:rsidR="003C3C25" w:rsidRPr="000160C5">
        <w:rPr>
          <w:rFonts w:cs="Times New Roman"/>
          <w:szCs w:val="28"/>
          <w:lang w:val="ru-RU"/>
        </w:rPr>
        <w:t xml:space="preserve"> одном текущем отчете может быть указано на несколько существенных событий</w:t>
      </w:r>
      <w:r w:rsidR="00F37BB8" w:rsidRPr="000160C5">
        <w:rPr>
          <w:rFonts w:cs="Times New Roman"/>
          <w:szCs w:val="28"/>
          <w:lang w:val="ru-RU"/>
        </w:rPr>
        <w:t xml:space="preserve">, что в </w:t>
      </w:r>
      <w:r w:rsidR="00F37BB8" w:rsidRPr="000160C5">
        <w:rPr>
          <w:rFonts w:cs="Times New Roman"/>
          <w:szCs w:val="28"/>
          <w:lang w:val="ru-RU"/>
        </w:rPr>
        <w:lastRenderedPageBreak/>
        <w:t>определенной мере удобнее, нежели публиковать несколько сообщений на каждый существенный факт</w:t>
      </w:r>
      <w:r w:rsidR="003C3C25" w:rsidRPr="000160C5">
        <w:rPr>
          <w:rFonts w:cs="Times New Roman"/>
          <w:szCs w:val="28"/>
          <w:lang w:val="ru-RU"/>
        </w:rPr>
        <w:t>.</w:t>
      </w:r>
      <w:r w:rsidR="00C979B1" w:rsidRPr="000160C5">
        <w:rPr>
          <w:rFonts w:cs="Times New Roman"/>
          <w:szCs w:val="28"/>
          <w:lang w:val="ru-RU"/>
        </w:rPr>
        <w:t xml:space="preserve"> </w:t>
      </w:r>
      <w:r w:rsidR="003C3C25" w:rsidRPr="000160C5">
        <w:rPr>
          <w:rFonts w:cs="Times New Roman"/>
          <w:szCs w:val="28"/>
          <w:lang w:val="ru-RU"/>
        </w:rPr>
        <w:t xml:space="preserve"> </w:t>
      </w:r>
      <w:r w:rsidR="00C979B1" w:rsidRPr="000160C5">
        <w:rPr>
          <w:rFonts w:cs="Times New Roman"/>
          <w:szCs w:val="28"/>
          <w:lang w:val="ru-RU"/>
        </w:rPr>
        <w:t xml:space="preserve">Примеры сообщения о существенном факте и текущего отчета эмитента </w:t>
      </w:r>
      <w:proofErr w:type="gramStart"/>
      <w:r w:rsidR="00C979B1" w:rsidRPr="000160C5">
        <w:rPr>
          <w:rFonts w:cs="Times New Roman"/>
          <w:szCs w:val="28"/>
          <w:lang w:val="ru-RU"/>
        </w:rPr>
        <w:t>см</w:t>
      </w:r>
      <w:proofErr w:type="gramEnd"/>
      <w:r w:rsidR="00C979B1" w:rsidRPr="000160C5">
        <w:rPr>
          <w:rFonts w:cs="Times New Roman"/>
          <w:szCs w:val="28"/>
          <w:lang w:val="ru-RU"/>
        </w:rPr>
        <w:t xml:space="preserve">. в </w:t>
      </w:r>
      <w:hyperlink w:anchor="_Приложение_4." w:history="1">
        <w:r w:rsidR="00C979B1" w:rsidRPr="000160C5">
          <w:rPr>
            <w:rStyle w:val="aa"/>
            <w:rFonts w:cs="Times New Roman"/>
            <w:szCs w:val="28"/>
            <w:lang w:val="ru-RU"/>
          </w:rPr>
          <w:t xml:space="preserve">Приложении </w:t>
        </w:r>
        <w:r w:rsidR="00F37BB8" w:rsidRPr="000160C5">
          <w:rPr>
            <w:rStyle w:val="aa"/>
            <w:rFonts w:cs="Times New Roman"/>
            <w:szCs w:val="28"/>
            <w:lang w:val="ru-RU"/>
          </w:rPr>
          <w:t>4</w:t>
        </w:r>
      </w:hyperlink>
      <w:r w:rsidR="00C979B1" w:rsidRPr="000160C5">
        <w:rPr>
          <w:rFonts w:cs="Times New Roman"/>
          <w:szCs w:val="28"/>
          <w:lang w:val="ru-RU"/>
        </w:rPr>
        <w:t xml:space="preserve">. </w:t>
      </w:r>
    </w:p>
    <w:p w:rsidR="00A4778D" w:rsidRPr="000160C5" w:rsidRDefault="00F37BB8" w:rsidP="005901E8">
      <w:pPr>
        <w:pStyle w:val="TNR14"/>
        <w:keepNext/>
        <w:widowControl w:val="0"/>
        <w:rPr>
          <w:rFonts w:cs="Times New Roman"/>
          <w:szCs w:val="28"/>
          <w:lang w:val="ru-RU"/>
        </w:rPr>
      </w:pPr>
      <w:r w:rsidRPr="000160C5">
        <w:rPr>
          <w:rFonts w:cs="Times New Roman"/>
          <w:szCs w:val="28"/>
          <w:lang w:val="ru-RU"/>
        </w:rPr>
        <w:t>Итак</w:t>
      </w:r>
      <w:r w:rsidR="00A4778D" w:rsidRPr="000160C5">
        <w:rPr>
          <w:rFonts w:cs="Times New Roman"/>
          <w:szCs w:val="28"/>
          <w:lang w:val="ru-RU"/>
        </w:rPr>
        <w:t xml:space="preserve">, </w:t>
      </w:r>
      <w:r w:rsidRPr="000160C5">
        <w:rPr>
          <w:rFonts w:cs="Times New Roman"/>
          <w:szCs w:val="28"/>
          <w:lang w:val="ru-RU"/>
        </w:rPr>
        <w:t>рассмотренные в настоящем разделе</w:t>
      </w:r>
      <w:r w:rsidR="00A4778D" w:rsidRPr="000160C5">
        <w:rPr>
          <w:rFonts w:cs="Times New Roman"/>
          <w:szCs w:val="28"/>
          <w:lang w:val="ru-RU"/>
        </w:rPr>
        <w:t xml:space="preserve"> формы раскрытия информации позволяют инвестору оперативно получать актуальную информацию в рамках короткого срока после наступления соответствующего события. Список событий, о которых эмитент должен раскрывать информацию, не является закрытым, и эмитент может раскрывать информацию, которая</w:t>
      </w:r>
      <w:r w:rsidR="0018056E" w:rsidRPr="000160C5">
        <w:rPr>
          <w:rFonts w:cs="Times New Roman"/>
          <w:szCs w:val="28"/>
          <w:lang w:val="ru-RU"/>
        </w:rPr>
        <w:t>,</w:t>
      </w:r>
      <w:r w:rsidR="00A4778D" w:rsidRPr="000160C5">
        <w:rPr>
          <w:rFonts w:cs="Times New Roman"/>
          <w:szCs w:val="28"/>
          <w:lang w:val="ru-RU"/>
        </w:rPr>
        <w:t xml:space="preserve"> по его мнению</w:t>
      </w:r>
      <w:r w:rsidR="0018056E" w:rsidRPr="000160C5">
        <w:rPr>
          <w:rFonts w:cs="Times New Roman"/>
          <w:szCs w:val="28"/>
          <w:lang w:val="ru-RU"/>
        </w:rPr>
        <w:t>,</w:t>
      </w:r>
      <w:r w:rsidR="00A4778D" w:rsidRPr="000160C5">
        <w:rPr>
          <w:rFonts w:cs="Times New Roman"/>
          <w:szCs w:val="28"/>
          <w:lang w:val="ru-RU"/>
        </w:rPr>
        <w:t xml:space="preserve"> может оказаться существенной для принятия инвестором решения. </w:t>
      </w:r>
    </w:p>
    <w:p w:rsidR="002D3E85" w:rsidRPr="000160C5" w:rsidRDefault="002D3E85" w:rsidP="002D3E85">
      <w:pPr>
        <w:pStyle w:val="3"/>
        <w:keepLines w:val="0"/>
        <w:widowControl w:val="0"/>
        <w:spacing w:before="0" w:line="360" w:lineRule="auto"/>
        <w:rPr>
          <w:rFonts w:cs="Times New Roman"/>
          <w:szCs w:val="28"/>
        </w:rPr>
      </w:pPr>
      <w:r w:rsidRPr="000160C5">
        <w:rPr>
          <w:rFonts w:cs="Times New Roman"/>
          <w:szCs w:val="28"/>
        </w:rPr>
        <w:tab/>
      </w:r>
      <w:bookmarkStart w:id="11" w:name="_Toc356162051"/>
      <w:r w:rsidRPr="000160C5">
        <w:rPr>
          <w:rFonts w:cs="Times New Roman"/>
          <w:szCs w:val="28"/>
        </w:rPr>
        <w:t>§1.2 Непериодическое раскрытие информации</w:t>
      </w:r>
      <w:bookmarkEnd w:id="11"/>
    </w:p>
    <w:p w:rsidR="002D3E85" w:rsidRPr="000160C5" w:rsidRDefault="002D3E85" w:rsidP="002D3E85">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Стоит отметить, что помимо регулярного раскрытия </w:t>
      </w:r>
      <w:r w:rsidR="00C977D1" w:rsidRPr="000160C5">
        <w:rPr>
          <w:rFonts w:ascii="Times New Roman" w:hAnsi="Times New Roman" w:cs="Times New Roman"/>
          <w:sz w:val="28"/>
          <w:szCs w:val="28"/>
        </w:rPr>
        <w:t xml:space="preserve">эмитентами </w:t>
      </w:r>
      <w:r w:rsidRPr="000160C5">
        <w:rPr>
          <w:rFonts w:ascii="Times New Roman" w:hAnsi="Times New Roman" w:cs="Times New Roman"/>
          <w:sz w:val="28"/>
          <w:szCs w:val="28"/>
        </w:rPr>
        <w:t xml:space="preserve">определенной информации </w:t>
      </w:r>
      <w:r w:rsidR="00C977D1" w:rsidRPr="000160C5">
        <w:rPr>
          <w:rFonts w:ascii="Times New Roman" w:hAnsi="Times New Roman" w:cs="Times New Roman"/>
          <w:sz w:val="28"/>
          <w:szCs w:val="28"/>
        </w:rPr>
        <w:t>нормативно также</w:t>
      </w:r>
      <w:r w:rsidRPr="000160C5">
        <w:rPr>
          <w:rFonts w:ascii="Times New Roman" w:hAnsi="Times New Roman" w:cs="Times New Roman"/>
          <w:sz w:val="28"/>
          <w:szCs w:val="28"/>
        </w:rPr>
        <w:t xml:space="preserve"> предусмотрены обязанности по непериодическому раскрытию информации при наличии соответствующих для этого оснований.</w:t>
      </w:r>
    </w:p>
    <w:p w:rsidR="002D3E85" w:rsidRPr="000160C5" w:rsidRDefault="002D3E85" w:rsidP="002D3E85">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Прежде всего, эмитенты публично обращающихся ценных бумаг обязаны раскрывать определенную информацию на этапе эмиссии ценных бумаг. </w:t>
      </w:r>
    </w:p>
    <w:p w:rsidR="00192D12" w:rsidRPr="000160C5" w:rsidRDefault="003D508C" w:rsidP="002D3E85">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Публичное обращение ценных бумаг возможно лишь при условии регистрации проспекта в ФСФР. </w:t>
      </w:r>
      <w:r w:rsidR="00192D12" w:rsidRPr="000160C5">
        <w:rPr>
          <w:rFonts w:ascii="Times New Roman" w:hAnsi="Times New Roman" w:cs="Times New Roman"/>
          <w:sz w:val="28"/>
          <w:szCs w:val="28"/>
        </w:rPr>
        <w:t xml:space="preserve">Положение о раскрытии информации предусматривает раскрытие информации </w:t>
      </w:r>
      <w:r w:rsidR="00AF20C4" w:rsidRPr="000160C5">
        <w:rPr>
          <w:rFonts w:ascii="Times New Roman" w:hAnsi="Times New Roman" w:cs="Times New Roman"/>
          <w:sz w:val="28"/>
          <w:szCs w:val="28"/>
        </w:rPr>
        <w:t xml:space="preserve">на каждом из пяти этапов эмиссии </w:t>
      </w:r>
      <w:r w:rsidR="00192D12" w:rsidRPr="000160C5">
        <w:rPr>
          <w:rFonts w:ascii="Times New Roman" w:hAnsi="Times New Roman" w:cs="Times New Roman"/>
          <w:sz w:val="28"/>
          <w:szCs w:val="28"/>
        </w:rPr>
        <w:t>в форме сообщений о существенных фактах, а также опубликования эмиссионной документации.</w:t>
      </w:r>
      <w:r w:rsidR="00AF20C4" w:rsidRPr="000160C5">
        <w:rPr>
          <w:rFonts w:ascii="Times New Roman" w:hAnsi="Times New Roman" w:cs="Times New Roman"/>
          <w:sz w:val="28"/>
          <w:szCs w:val="28"/>
        </w:rPr>
        <w:t xml:space="preserve"> </w:t>
      </w:r>
    </w:p>
    <w:p w:rsidR="00A54D65" w:rsidRPr="000160C5" w:rsidRDefault="009B1DE4" w:rsidP="002D3E85">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Закон о ценных бумагах 1933 года </w:t>
      </w:r>
      <w:r w:rsidR="00AF20C4" w:rsidRPr="000160C5">
        <w:rPr>
          <w:rFonts w:ascii="Times New Roman" w:hAnsi="Times New Roman" w:cs="Times New Roman"/>
          <w:sz w:val="28"/>
          <w:szCs w:val="28"/>
        </w:rPr>
        <w:t xml:space="preserve">также </w:t>
      </w:r>
      <w:r w:rsidRPr="000160C5">
        <w:rPr>
          <w:rFonts w:ascii="Times New Roman" w:hAnsi="Times New Roman" w:cs="Times New Roman"/>
          <w:sz w:val="28"/>
          <w:szCs w:val="28"/>
        </w:rPr>
        <w:t>предусматривает</w:t>
      </w:r>
      <w:r w:rsidR="00AF20C4" w:rsidRPr="000160C5">
        <w:rPr>
          <w:rFonts w:ascii="Times New Roman" w:hAnsi="Times New Roman" w:cs="Times New Roman"/>
          <w:sz w:val="28"/>
          <w:szCs w:val="28"/>
        </w:rPr>
        <w:t xml:space="preserve"> определенную процедуру допуска ценных бумаг эмитента к обращению посредством подачи </w:t>
      </w:r>
      <w:r w:rsidR="003D508C" w:rsidRPr="000160C5">
        <w:rPr>
          <w:rFonts w:ascii="Times New Roman" w:hAnsi="Times New Roman" w:cs="Times New Roman"/>
          <w:sz w:val="28"/>
          <w:szCs w:val="28"/>
        </w:rPr>
        <w:t>регистрационной документации и проспекта</w:t>
      </w:r>
      <w:r w:rsidR="00C977D1" w:rsidRPr="000160C5">
        <w:rPr>
          <w:rFonts w:ascii="Times New Roman" w:hAnsi="Times New Roman" w:cs="Times New Roman"/>
          <w:sz w:val="28"/>
          <w:szCs w:val="28"/>
        </w:rPr>
        <w:t xml:space="preserve"> в компетентный орган, то есть Комиссию США</w:t>
      </w:r>
      <w:r w:rsidR="003D508C" w:rsidRPr="000160C5">
        <w:rPr>
          <w:rFonts w:ascii="Times New Roman" w:hAnsi="Times New Roman" w:cs="Times New Roman"/>
          <w:sz w:val="28"/>
          <w:szCs w:val="28"/>
        </w:rPr>
        <w:t>.</w:t>
      </w:r>
    </w:p>
    <w:p w:rsidR="004E0CD7" w:rsidRPr="000160C5" w:rsidRDefault="00A54D65" w:rsidP="002D3E85">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Кроме раскрытия информации на этапах эмиссии нормативно предусмотрены иные формы непериодического раскрытия информации эмитентами. </w:t>
      </w:r>
      <w:r w:rsidR="00BA77AD" w:rsidRPr="000160C5">
        <w:rPr>
          <w:rFonts w:ascii="Times New Roman" w:hAnsi="Times New Roman" w:cs="Times New Roman"/>
          <w:sz w:val="28"/>
          <w:szCs w:val="28"/>
        </w:rPr>
        <w:t xml:space="preserve">Например, </w:t>
      </w:r>
      <w:r w:rsidRPr="000160C5">
        <w:rPr>
          <w:rFonts w:ascii="Times New Roman" w:hAnsi="Times New Roman" w:cs="Times New Roman"/>
          <w:sz w:val="28"/>
          <w:szCs w:val="28"/>
        </w:rPr>
        <w:t xml:space="preserve">Положение о раскрытии информации </w:t>
      </w:r>
      <w:r w:rsidRPr="000160C5">
        <w:rPr>
          <w:rFonts w:ascii="Times New Roman" w:hAnsi="Times New Roman" w:cs="Times New Roman"/>
          <w:sz w:val="28"/>
          <w:szCs w:val="28"/>
        </w:rPr>
        <w:lastRenderedPageBreak/>
        <w:t>предусматривает раскрытие внутренних документов (устава и документов, регулирующих деятельность о</w:t>
      </w:r>
      <w:r w:rsidR="00BA77AD" w:rsidRPr="000160C5">
        <w:rPr>
          <w:rFonts w:ascii="Times New Roman" w:hAnsi="Times New Roman" w:cs="Times New Roman"/>
          <w:sz w:val="28"/>
          <w:szCs w:val="28"/>
        </w:rPr>
        <w:t xml:space="preserve">рганов управления) </w:t>
      </w:r>
      <w:r w:rsidRPr="000160C5">
        <w:rPr>
          <w:rFonts w:ascii="Times New Roman" w:hAnsi="Times New Roman" w:cs="Times New Roman"/>
          <w:sz w:val="28"/>
          <w:szCs w:val="28"/>
        </w:rPr>
        <w:t xml:space="preserve">акционерными обществами при </w:t>
      </w:r>
      <w:r w:rsidR="00BA77AD" w:rsidRPr="000160C5">
        <w:rPr>
          <w:rFonts w:ascii="Times New Roman" w:hAnsi="Times New Roman" w:cs="Times New Roman"/>
          <w:sz w:val="28"/>
          <w:szCs w:val="28"/>
        </w:rPr>
        <w:t>внесении</w:t>
      </w:r>
      <w:r w:rsidRPr="000160C5">
        <w:rPr>
          <w:rFonts w:ascii="Times New Roman" w:hAnsi="Times New Roman" w:cs="Times New Roman"/>
          <w:sz w:val="28"/>
          <w:szCs w:val="28"/>
        </w:rPr>
        <w:t xml:space="preserve"> каких-либо изменений</w:t>
      </w:r>
      <w:r w:rsidR="00BA77AD" w:rsidRPr="000160C5">
        <w:rPr>
          <w:rFonts w:ascii="Times New Roman" w:hAnsi="Times New Roman" w:cs="Times New Roman"/>
          <w:sz w:val="28"/>
          <w:szCs w:val="28"/>
        </w:rPr>
        <w:t xml:space="preserve"> в указанные документы.</w:t>
      </w:r>
      <w:r w:rsidRPr="000160C5">
        <w:rPr>
          <w:rFonts w:ascii="Times New Roman" w:hAnsi="Times New Roman" w:cs="Times New Roman"/>
          <w:sz w:val="28"/>
          <w:szCs w:val="28"/>
        </w:rPr>
        <w:t xml:space="preserve"> </w:t>
      </w:r>
      <w:r w:rsidR="003D508C" w:rsidRPr="000160C5">
        <w:rPr>
          <w:rFonts w:ascii="Times New Roman" w:hAnsi="Times New Roman" w:cs="Times New Roman"/>
          <w:sz w:val="28"/>
          <w:szCs w:val="28"/>
        </w:rPr>
        <w:t xml:space="preserve"> </w:t>
      </w:r>
      <w:r w:rsidR="00AF20C4" w:rsidRPr="000160C5">
        <w:rPr>
          <w:rFonts w:ascii="Times New Roman" w:hAnsi="Times New Roman" w:cs="Times New Roman"/>
          <w:sz w:val="28"/>
          <w:szCs w:val="28"/>
        </w:rPr>
        <w:t xml:space="preserve">  </w:t>
      </w:r>
      <w:r w:rsidR="009B1DE4" w:rsidRPr="000160C5">
        <w:rPr>
          <w:rFonts w:ascii="Times New Roman" w:hAnsi="Times New Roman" w:cs="Times New Roman"/>
          <w:sz w:val="28"/>
          <w:szCs w:val="28"/>
        </w:rPr>
        <w:t xml:space="preserve"> </w:t>
      </w:r>
    </w:p>
    <w:p w:rsidR="009B1DE4" w:rsidRPr="000160C5" w:rsidRDefault="0056125F" w:rsidP="002D3E85">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Закон о торговле ценными бумагами 1934 года предусматривает раскрытие определенной информации лицом, собирающимся приобрести более 5% ценных бумаг эмитента. Кроме прочего, это лицо должно раскрыть информацию относительно своих будущих планов в отношении владения приобретаемыми ценными бумагами, чтобы инвесторы-владельцы ос</w:t>
      </w:r>
      <w:r w:rsidR="00C977D1" w:rsidRPr="000160C5">
        <w:rPr>
          <w:rFonts w:ascii="Times New Roman" w:hAnsi="Times New Roman" w:cs="Times New Roman"/>
          <w:sz w:val="28"/>
          <w:szCs w:val="28"/>
        </w:rPr>
        <w:t>тальных ценных бумаг могли принима</w:t>
      </w:r>
      <w:r w:rsidRPr="000160C5">
        <w:rPr>
          <w:rFonts w:ascii="Times New Roman" w:hAnsi="Times New Roman" w:cs="Times New Roman"/>
          <w:sz w:val="28"/>
          <w:szCs w:val="28"/>
        </w:rPr>
        <w:t>ть взвешенные решения</w:t>
      </w:r>
      <w:r w:rsidRPr="000160C5">
        <w:rPr>
          <w:rStyle w:val="a9"/>
          <w:rFonts w:ascii="Times New Roman" w:hAnsi="Times New Roman" w:cs="Times New Roman"/>
          <w:sz w:val="28"/>
          <w:szCs w:val="28"/>
        </w:rPr>
        <w:footnoteReference w:id="42"/>
      </w:r>
      <w:r w:rsidRPr="000160C5">
        <w:rPr>
          <w:rFonts w:ascii="Times New Roman" w:hAnsi="Times New Roman" w:cs="Times New Roman"/>
          <w:sz w:val="28"/>
          <w:szCs w:val="28"/>
        </w:rPr>
        <w:t xml:space="preserve">.   </w:t>
      </w:r>
      <w:r w:rsidR="009B1DE4" w:rsidRPr="000160C5">
        <w:rPr>
          <w:rFonts w:ascii="Times New Roman" w:hAnsi="Times New Roman" w:cs="Times New Roman"/>
          <w:sz w:val="28"/>
          <w:szCs w:val="28"/>
        </w:rPr>
        <w:t xml:space="preserve"> </w:t>
      </w:r>
    </w:p>
    <w:p w:rsidR="009B2657" w:rsidRPr="000160C5" w:rsidRDefault="00C60288" w:rsidP="002D3E85">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Кроме общих требований, распространяющихся на всех эмитентов публичных ценных бумаг, специальные нормативные акты предусматривают формы раскрытия информации, применимые к тому или иному виду эмитента (профессиональные участники рынка ценных бумаг, инвестиционные компании).</w:t>
      </w:r>
      <w:r w:rsidR="00AE6FE5" w:rsidRPr="000160C5">
        <w:rPr>
          <w:rFonts w:ascii="Times New Roman" w:hAnsi="Times New Roman" w:cs="Times New Roman"/>
          <w:sz w:val="28"/>
          <w:szCs w:val="28"/>
        </w:rPr>
        <w:t xml:space="preserve"> Список форм раскрытия информации,</w:t>
      </w:r>
      <w:r w:rsidR="009B2657" w:rsidRPr="000160C5">
        <w:rPr>
          <w:rFonts w:ascii="Times New Roman" w:hAnsi="Times New Roman" w:cs="Times New Roman"/>
          <w:sz w:val="28"/>
          <w:szCs w:val="28"/>
        </w:rPr>
        <w:t xml:space="preserve"> содержа</w:t>
      </w:r>
      <w:r w:rsidR="00AE6FE5" w:rsidRPr="000160C5">
        <w:rPr>
          <w:rFonts w:ascii="Times New Roman" w:hAnsi="Times New Roman" w:cs="Times New Roman"/>
          <w:sz w:val="28"/>
          <w:szCs w:val="28"/>
        </w:rPr>
        <w:t>щийся на сайте Комиссии США, впечатляет своей объемностью</w:t>
      </w:r>
      <w:r w:rsidR="00AE6FE5" w:rsidRPr="000160C5">
        <w:rPr>
          <w:rStyle w:val="a9"/>
          <w:rFonts w:ascii="Times New Roman" w:hAnsi="Times New Roman" w:cs="Times New Roman"/>
          <w:sz w:val="28"/>
          <w:szCs w:val="28"/>
        </w:rPr>
        <w:footnoteReference w:id="43"/>
      </w:r>
      <w:r w:rsidR="00AE6FE5" w:rsidRPr="000160C5">
        <w:rPr>
          <w:rFonts w:ascii="Times New Roman" w:hAnsi="Times New Roman" w:cs="Times New Roman"/>
          <w:sz w:val="28"/>
          <w:szCs w:val="28"/>
        </w:rPr>
        <w:t>.</w:t>
      </w:r>
    </w:p>
    <w:p w:rsidR="00366C90" w:rsidRPr="000160C5" w:rsidRDefault="00C977D1" w:rsidP="002D3E85">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Итак</w:t>
      </w:r>
      <w:r w:rsidR="00366C90" w:rsidRPr="000160C5">
        <w:rPr>
          <w:rFonts w:ascii="Times New Roman" w:hAnsi="Times New Roman" w:cs="Times New Roman"/>
          <w:sz w:val="28"/>
          <w:szCs w:val="28"/>
        </w:rPr>
        <w:t xml:space="preserve">, количество и разнообразие форм </w:t>
      </w:r>
      <w:r w:rsidRPr="000160C5">
        <w:rPr>
          <w:rFonts w:ascii="Times New Roman" w:hAnsi="Times New Roman" w:cs="Times New Roman"/>
          <w:sz w:val="28"/>
          <w:szCs w:val="28"/>
        </w:rPr>
        <w:t xml:space="preserve">непериодического </w:t>
      </w:r>
      <w:r w:rsidR="00366C90" w:rsidRPr="000160C5">
        <w:rPr>
          <w:rFonts w:ascii="Times New Roman" w:hAnsi="Times New Roman" w:cs="Times New Roman"/>
          <w:sz w:val="28"/>
          <w:szCs w:val="28"/>
        </w:rPr>
        <w:t xml:space="preserve">раскрытия информации на рынке ценных бумаг позволяет инвесторам быть информированными </w:t>
      </w:r>
      <w:proofErr w:type="gramStart"/>
      <w:r w:rsidR="00366C90" w:rsidRPr="000160C5">
        <w:rPr>
          <w:rFonts w:ascii="Times New Roman" w:hAnsi="Times New Roman" w:cs="Times New Roman"/>
          <w:sz w:val="28"/>
          <w:szCs w:val="28"/>
        </w:rPr>
        <w:t>о</w:t>
      </w:r>
      <w:proofErr w:type="gramEnd"/>
      <w:r w:rsidR="00366C90" w:rsidRPr="000160C5">
        <w:rPr>
          <w:rFonts w:ascii="Times New Roman" w:hAnsi="Times New Roman" w:cs="Times New Roman"/>
          <w:sz w:val="28"/>
          <w:szCs w:val="28"/>
        </w:rPr>
        <w:t xml:space="preserve"> всех существенных фактах </w:t>
      </w:r>
      <w:r w:rsidR="00D0066D">
        <w:rPr>
          <w:rFonts w:ascii="Times New Roman" w:hAnsi="Times New Roman" w:cs="Times New Roman"/>
          <w:sz w:val="28"/>
          <w:szCs w:val="28"/>
        </w:rPr>
        <w:t>о</w:t>
      </w:r>
      <w:r w:rsidR="00366C90" w:rsidRPr="000160C5">
        <w:rPr>
          <w:rFonts w:ascii="Times New Roman" w:hAnsi="Times New Roman" w:cs="Times New Roman"/>
          <w:sz w:val="28"/>
          <w:szCs w:val="28"/>
        </w:rPr>
        <w:t xml:space="preserve"> деятельности эмитента.</w:t>
      </w:r>
      <w:r w:rsidRPr="000160C5">
        <w:rPr>
          <w:rFonts w:ascii="Times New Roman" w:hAnsi="Times New Roman" w:cs="Times New Roman"/>
          <w:sz w:val="28"/>
          <w:szCs w:val="28"/>
        </w:rPr>
        <w:t xml:space="preserve"> </w:t>
      </w:r>
    </w:p>
    <w:p w:rsidR="00366C90" w:rsidRPr="000160C5" w:rsidRDefault="00366C90" w:rsidP="003968F6">
      <w:pPr>
        <w:pStyle w:val="2"/>
        <w:rPr>
          <w:rFonts w:cs="Times New Roman"/>
          <w:szCs w:val="28"/>
        </w:rPr>
      </w:pPr>
      <w:bookmarkStart w:id="12" w:name="_Toc356162052"/>
      <w:r w:rsidRPr="000160C5">
        <w:rPr>
          <w:rFonts w:cs="Times New Roman"/>
          <w:szCs w:val="28"/>
        </w:rPr>
        <w:t>§</w:t>
      </w:r>
      <w:r w:rsidR="002D30BA" w:rsidRPr="000160C5">
        <w:rPr>
          <w:rFonts w:cs="Times New Roman"/>
          <w:szCs w:val="28"/>
        </w:rPr>
        <w:t>2.</w:t>
      </w:r>
      <w:r w:rsidRPr="000160C5">
        <w:rPr>
          <w:rFonts w:cs="Times New Roman"/>
          <w:szCs w:val="28"/>
        </w:rPr>
        <w:t xml:space="preserve"> Способы раскрыти</w:t>
      </w:r>
      <w:r w:rsidR="003616AB" w:rsidRPr="000160C5">
        <w:rPr>
          <w:rFonts w:cs="Times New Roman"/>
          <w:szCs w:val="28"/>
        </w:rPr>
        <w:t>я</w:t>
      </w:r>
      <w:r w:rsidRPr="000160C5">
        <w:rPr>
          <w:rFonts w:cs="Times New Roman"/>
          <w:szCs w:val="28"/>
        </w:rPr>
        <w:t xml:space="preserve"> информации</w:t>
      </w:r>
      <w:bookmarkEnd w:id="12"/>
    </w:p>
    <w:p w:rsidR="009443D4" w:rsidRPr="000160C5" w:rsidRDefault="00131BA7" w:rsidP="00366C90">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Нормативно п</w:t>
      </w:r>
      <w:r w:rsidR="009443D4" w:rsidRPr="000160C5">
        <w:rPr>
          <w:rFonts w:ascii="Times New Roman" w:hAnsi="Times New Roman" w:cs="Times New Roman"/>
          <w:sz w:val="28"/>
          <w:szCs w:val="28"/>
        </w:rPr>
        <w:t xml:space="preserve">редусмотренная обязанность эмитента раскрывать информацию </w:t>
      </w:r>
      <w:r w:rsidRPr="000160C5">
        <w:rPr>
          <w:rFonts w:ascii="Times New Roman" w:hAnsi="Times New Roman" w:cs="Times New Roman"/>
          <w:sz w:val="28"/>
          <w:szCs w:val="28"/>
        </w:rPr>
        <w:t>служит цели</w:t>
      </w:r>
      <w:r w:rsidR="009443D4" w:rsidRPr="000160C5">
        <w:rPr>
          <w:rFonts w:ascii="Times New Roman" w:hAnsi="Times New Roman" w:cs="Times New Roman"/>
          <w:sz w:val="28"/>
          <w:szCs w:val="28"/>
        </w:rPr>
        <w:t xml:space="preserve"> </w:t>
      </w:r>
      <w:r w:rsidRPr="000160C5">
        <w:rPr>
          <w:rFonts w:ascii="Times New Roman" w:hAnsi="Times New Roman" w:cs="Times New Roman"/>
          <w:sz w:val="28"/>
          <w:szCs w:val="28"/>
        </w:rPr>
        <w:t>о</w:t>
      </w:r>
      <w:r w:rsidR="009443D4" w:rsidRPr="000160C5">
        <w:rPr>
          <w:rFonts w:ascii="Times New Roman" w:hAnsi="Times New Roman" w:cs="Times New Roman"/>
          <w:sz w:val="28"/>
          <w:szCs w:val="28"/>
        </w:rPr>
        <w:t>беспеч</w:t>
      </w:r>
      <w:r w:rsidR="00D0066D">
        <w:rPr>
          <w:rFonts w:ascii="Times New Roman" w:hAnsi="Times New Roman" w:cs="Times New Roman"/>
          <w:sz w:val="28"/>
          <w:szCs w:val="28"/>
        </w:rPr>
        <w:t>ения</w:t>
      </w:r>
      <w:r w:rsidR="009443D4" w:rsidRPr="000160C5">
        <w:rPr>
          <w:rFonts w:ascii="Times New Roman" w:hAnsi="Times New Roman" w:cs="Times New Roman"/>
          <w:sz w:val="28"/>
          <w:szCs w:val="28"/>
        </w:rPr>
        <w:t xml:space="preserve"> доступ</w:t>
      </w:r>
      <w:r w:rsidR="00D0066D">
        <w:rPr>
          <w:rFonts w:ascii="Times New Roman" w:hAnsi="Times New Roman" w:cs="Times New Roman"/>
          <w:sz w:val="28"/>
          <w:szCs w:val="28"/>
        </w:rPr>
        <w:t>а</w:t>
      </w:r>
      <w:r w:rsidR="009443D4" w:rsidRPr="000160C5">
        <w:rPr>
          <w:rFonts w:ascii="Times New Roman" w:hAnsi="Times New Roman" w:cs="Times New Roman"/>
          <w:sz w:val="28"/>
          <w:szCs w:val="28"/>
        </w:rPr>
        <w:t xml:space="preserve"> к этой информации неограниченно</w:t>
      </w:r>
      <w:r w:rsidRPr="000160C5">
        <w:rPr>
          <w:rFonts w:ascii="Times New Roman" w:hAnsi="Times New Roman" w:cs="Times New Roman"/>
          <w:sz w:val="28"/>
          <w:szCs w:val="28"/>
        </w:rPr>
        <w:t>му</w:t>
      </w:r>
      <w:r w:rsidR="009443D4" w:rsidRPr="000160C5">
        <w:rPr>
          <w:rFonts w:ascii="Times New Roman" w:hAnsi="Times New Roman" w:cs="Times New Roman"/>
          <w:sz w:val="28"/>
          <w:szCs w:val="28"/>
        </w:rPr>
        <w:t xml:space="preserve"> круг</w:t>
      </w:r>
      <w:r w:rsidRPr="000160C5">
        <w:rPr>
          <w:rFonts w:ascii="Times New Roman" w:hAnsi="Times New Roman" w:cs="Times New Roman"/>
          <w:sz w:val="28"/>
          <w:szCs w:val="28"/>
        </w:rPr>
        <w:t>у</w:t>
      </w:r>
      <w:r w:rsidR="009443D4" w:rsidRPr="000160C5">
        <w:rPr>
          <w:rFonts w:ascii="Times New Roman" w:hAnsi="Times New Roman" w:cs="Times New Roman"/>
          <w:sz w:val="28"/>
          <w:szCs w:val="28"/>
        </w:rPr>
        <w:t xml:space="preserve"> лиц. В настоящее время </w:t>
      </w:r>
      <w:r w:rsidRPr="000160C5">
        <w:rPr>
          <w:rFonts w:ascii="Times New Roman" w:hAnsi="Times New Roman" w:cs="Times New Roman"/>
          <w:sz w:val="28"/>
          <w:szCs w:val="28"/>
        </w:rPr>
        <w:t>технически это стало возможно благодаря</w:t>
      </w:r>
      <w:r w:rsidR="009443D4" w:rsidRPr="000160C5">
        <w:rPr>
          <w:rFonts w:ascii="Times New Roman" w:hAnsi="Times New Roman" w:cs="Times New Roman"/>
          <w:sz w:val="28"/>
          <w:szCs w:val="28"/>
        </w:rPr>
        <w:t xml:space="preserve"> </w:t>
      </w:r>
      <w:r w:rsidRPr="000160C5">
        <w:rPr>
          <w:rFonts w:ascii="Times New Roman" w:hAnsi="Times New Roman" w:cs="Times New Roman"/>
          <w:sz w:val="28"/>
          <w:szCs w:val="28"/>
        </w:rPr>
        <w:t xml:space="preserve">глобальной </w:t>
      </w:r>
      <w:r w:rsidR="009443D4" w:rsidRPr="000160C5">
        <w:rPr>
          <w:rFonts w:ascii="Times New Roman" w:hAnsi="Times New Roman" w:cs="Times New Roman"/>
          <w:sz w:val="28"/>
          <w:szCs w:val="28"/>
        </w:rPr>
        <w:t>сет</w:t>
      </w:r>
      <w:r w:rsidRPr="000160C5">
        <w:rPr>
          <w:rFonts w:ascii="Times New Roman" w:hAnsi="Times New Roman" w:cs="Times New Roman"/>
          <w:sz w:val="28"/>
          <w:szCs w:val="28"/>
        </w:rPr>
        <w:t>и</w:t>
      </w:r>
      <w:r w:rsidR="009443D4" w:rsidRPr="000160C5">
        <w:rPr>
          <w:rFonts w:ascii="Times New Roman" w:hAnsi="Times New Roman" w:cs="Times New Roman"/>
          <w:sz w:val="28"/>
          <w:szCs w:val="28"/>
        </w:rPr>
        <w:t xml:space="preserve"> Интернет.</w:t>
      </w:r>
    </w:p>
    <w:p w:rsidR="009443D4" w:rsidRPr="000160C5" w:rsidRDefault="009443D4" w:rsidP="00366C90">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С принятием нового Положения о раскрытии информации в 2011 году изменилась система раскрытия информации с точки зрения вовлеченности в данный процесс ФСФР. Текущая редакция Положения с 01 сентября 2012 </w:t>
      </w:r>
      <w:r w:rsidRPr="000160C5">
        <w:rPr>
          <w:rFonts w:ascii="Times New Roman" w:hAnsi="Times New Roman" w:cs="Times New Roman"/>
          <w:sz w:val="28"/>
          <w:szCs w:val="28"/>
        </w:rPr>
        <w:lastRenderedPageBreak/>
        <w:t xml:space="preserve">года обязывает эмитентов раскрывать информацию только в сети Интернет, не предоставляя </w:t>
      </w:r>
      <w:proofErr w:type="gramStart"/>
      <w:r w:rsidRPr="000160C5">
        <w:rPr>
          <w:rFonts w:ascii="Times New Roman" w:hAnsi="Times New Roman" w:cs="Times New Roman"/>
          <w:sz w:val="28"/>
          <w:szCs w:val="28"/>
        </w:rPr>
        <w:t>более периодические</w:t>
      </w:r>
      <w:proofErr w:type="gramEnd"/>
      <w:r w:rsidRPr="000160C5">
        <w:rPr>
          <w:rFonts w:ascii="Times New Roman" w:hAnsi="Times New Roman" w:cs="Times New Roman"/>
          <w:sz w:val="28"/>
          <w:szCs w:val="28"/>
        </w:rPr>
        <w:t xml:space="preserve"> отчеты в ФСФР, ка</w:t>
      </w:r>
      <w:r w:rsidR="003354C4" w:rsidRPr="000160C5">
        <w:rPr>
          <w:rFonts w:ascii="Times New Roman" w:hAnsi="Times New Roman" w:cs="Times New Roman"/>
          <w:sz w:val="28"/>
          <w:szCs w:val="28"/>
        </w:rPr>
        <w:t>к</w:t>
      </w:r>
      <w:r w:rsidRPr="000160C5">
        <w:rPr>
          <w:rFonts w:ascii="Times New Roman" w:hAnsi="Times New Roman" w:cs="Times New Roman"/>
          <w:sz w:val="28"/>
          <w:szCs w:val="28"/>
        </w:rPr>
        <w:t xml:space="preserve"> это было ранее.</w:t>
      </w:r>
    </w:p>
    <w:p w:rsidR="00366C90" w:rsidRPr="000160C5" w:rsidRDefault="009443D4" w:rsidP="00366C90">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Раскрытие информации в </w:t>
      </w:r>
      <w:r w:rsidR="00131BA7" w:rsidRPr="000160C5">
        <w:rPr>
          <w:rFonts w:ascii="Times New Roman" w:hAnsi="Times New Roman" w:cs="Times New Roman"/>
          <w:sz w:val="28"/>
          <w:szCs w:val="28"/>
        </w:rPr>
        <w:t xml:space="preserve">сети </w:t>
      </w:r>
      <w:r w:rsidRPr="000160C5">
        <w:rPr>
          <w:rFonts w:ascii="Times New Roman" w:hAnsi="Times New Roman" w:cs="Times New Roman"/>
          <w:sz w:val="28"/>
          <w:szCs w:val="28"/>
        </w:rPr>
        <w:t>Интернет происходит в двух аспектах: часть информации раскрывается в лентах новостей уполномоченных информационных агентств – распространителей информации. Лента новостей представляет собой информационный ресурс, обновляемый в режиме реального времени и предоставляемый уполномоченным информационным агентством. На сегодняшний момент список указанных уполномоченных агентств, число которых равно пяти, размещен на официальном сайте ФСФР</w:t>
      </w:r>
      <w:r w:rsidRPr="000160C5">
        <w:rPr>
          <w:rStyle w:val="a9"/>
          <w:rFonts w:ascii="Times New Roman" w:hAnsi="Times New Roman" w:cs="Times New Roman"/>
          <w:sz w:val="28"/>
          <w:szCs w:val="28"/>
        </w:rPr>
        <w:footnoteReference w:id="44"/>
      </w:r>
      <w:r w:rsidRPr="000160C5">
        <w:rPr>
          <w:rFonts w:ascii="Times New Roman" w:hAnsi="Times New Roman" w:cs="Times New Roman"/>
          <w:sz w:val="28"/>
          <w:szCs w:val="28"/>
        </w:rPr>
        <w:t xml:space="preserve"> без</w:t>
      </w:r>
      <w:r w:rsidR="00B360C1" w:rsidRPr="000160C5">
        <w:rPr>
          <w:rFonts w:ascii="Times New Roman" w:hAnsi="Times New Roman" w:cs="Times New Roman"/>
          <w:sz w:val="28"/>
          <w:szCs w:val="28"/>
        </w:rPr>
        <w:t xml:space="preserve"> какого-либо нормативного закрепления.</w:t>
      </w:r>
      <w:r w:rsidRPr="000160C5">
        <w:rPr>
          <w:rFonts w:ascii="Times New Roman" w:hAnsi="Times New Roman" w:cs="Times New Roman"/>
          <w:sz w:val="28"/>
          <w:szCs w:val="28"/>
        </w:rPr>
        <w:t xml:space="preserve">     </w:t>
      </w:r>
    </w:p>
    <w:p w:rsidR="00B360C1" w:rsidRPr="000160C5" w:rsidRDefault="00901CC7" w:rsidP="00366C90">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Учитывая специфику ленты новостей, информация здесь раскрывается в форме</w:t>
      </w:r>
      <w:r w:rsidR="00131BA7" w:rsidRPr="000160C5">
        <w:rPr>
          <w:rFonts w:ascii="Times New Roman" w:hAnsi="Times New Roman" w:cs="Times New Roman"/>
          <w:sz w:val="28"/>
          <w:szCs w:val="28"/>
        </w:rPr>
        <w:t xml:space="preserve"> коротких сообщений, обновляемых в режиме реального времени, то есть вновь опубликованные сообщения смещают </w:t>
      </w:r>
      <w:r w:rsidR="008E52A5" w:rsidRPr="000160C5">
        <w:rPr>
          <w:rFonts w:ascii="Times New Roman" w:hAnsi="Times New Roman" w:cs="Times New Roman"/>
          <w:sz w:val="28"/>
          <w:szCs w:val="28"/>
        </w:rPr>
        <w:t xml:space="preserve">вниз </w:t>
      </w:r>
      <w:r w:rsidR="00131BA7" w:rsidRPr="000160C5">
        <w:rPr>
          <w:rFonts w:ascii="Times New Roman" w:hAnsi="Times New Roman" w:cs="Times New Roman"/>
          <w:sz w:val="28"/>
          <w:szCs w:val="28"/>
        </w:rPr>
        <w:t>«старые» сообщения</w:t>
      </w:r>
      <w:r w:rsidRPr="000160C5">
        <w:rPr>
          <w:rFonts w:ascii="Times New Roman" w:hAnsi="Times New Roman" w:cs="Times New Roman"/>
          <w:sz w:val="28"/>
          <w:szCs w:val="28"/>
        </w:rPr>
        <w:t xml:space="preserve">. </w:t>
      </w:r>
    </w:p>
    <w:p w:rsidR="00901CC7" w:rsidRPr="000160C5" w:rsidRDefault="00901CC7" w:rsidP="00366C90">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При опубликовании информации в ленте новостей эмитент также обязан сообщить о содержании публикуемой информации и организатору торговли. </w:t>
      </w:r>
      <w:r w:rsidRPr="000160C5">
        <w:rPr>
          <w:rFonts w:ascii="Times New Roman" w:hAnsi="Times New Roman" w:cs="Times New Roman"/>
          <w:sz w:val="28"/>
          <w:szCs w:val="28"/>
        </w:rPr>
        <w:tab/>
      </w:r>
    </w:p>
    <w:p w:rsidR="00901CC7" w:rsidRPr="000160C5" w:rsidRDefault="00901CC7" w:rsidP="00366C90">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Важно отметить, что раскрытие информации в ленте новостей является приоритетным по отношению </w:t>
      </w:r>
      <w:r w:rsidR="003354C4" w:rsidRPr="000160C5">
        <w:rPr>
          <w:rFonts w:ascii="Times New Roman" w:hAnsi="Times New Roman" w:cs="Times New Roman"/>
          <w:sz w:val="28"/>
          <w:szCs w:val="28"/>
        </w:rPr>
        <w:t>ко всем иным способам раскрытия.</w:t>
      </w:r>
      <w:r w:rsidRPr="000160C5">
        <w:rPr>
          <w:rFonts w:ascii="Times New Roman" w:hAnsi="Times New Roman" w:cs="Times New Roman"/>
          <w:sz w:val="28"/>
          <w:szCs w:val="28"/>
        </w:rPr>
        <w:t xml:space="preserve"> </w:t>
      </w:r>
      <w:r w:rsidR="003354C4" w:rsidRPr="000160C5">
        <w:rPr>
          <w:rFonts w:ascii="Times New Roman" w:hAnsi="Times New Roman" w:cs="Times New Roman"/>
          <w:sz w:val="28"/>
          <w:szCs w:val="28"/>
        </w:rPr>
        <w:t>И</w:t>
      </w:r>
      <w:r w:rsidRPr="000160C5">
        <w:rPr>
          <w:rFonts w:ascii="Times New Roman" w:hAnsi="Times New Roman" w:cs="Times New Roman"/>
          <w:sz w:val="28"/>
          <w:szCs w:val="28"/>
        </w:rPr>
        <w:t>ными словами, информация, которая должна быть раскрыта в ленте новостей, до момента такого раскрытия носит статус инсайдерской, и ее использование влечет ответственность в соответствии с законодательством РФ, а с момента опубликования ее в ленте новостей она теряет статус инсайдерской и может быть использована без применения последствий</w:t>
      </w:r>
      <w:r w:rsidRPr="000160C5">
        <w:rPr>
          <w:rStyle w:val="a9"/>
          <w:rFonts w:ascii="Times New Roman" w:hAnsi="Times New Roman" w:cs="Times New Roman"/>
          <w:sz w:val="28"/>
          <w:szCs w:val="28"/>
        </w:rPr>
        <w:footnoteReference w:id="45"/>
      </w:r>
      <w:r w:rsidRPr="000160C5">
        <w:rPr>
          <w:rFonts w:ascii="Times New Roman" w:hAnsi="Times New Roman" w:cs="Times New Roman"/>
          <w:sz w:val="28"/>
          <w:szCs w:val="28"/>
        </w:rPr>
        <w:t xml:space="preserve">. </w:t>
      </w:r>
    </w:p>
    <w:p w:rsidR="005B3254" w:rsidRPr="000160C5" w:rsidRDefault="005B3254" w:rsidP="00366C90">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Стоит </w:t>
      </w:r>
      <w:r w:rsidR="004C592F" w:rsidRPr="000160C5">
        <w:rPr>
          <w:rFonts w:ascii="Times New Roman" w:hAnsi="Times New Roman" w:cs="Times New Roman"/>
          <w:sz w:val="28"/>
          <w:szCs w:val="28"/>
        </w:rPr>
        <w:t>указать</w:t>
      </w:r>
      <w:r w:rsidRPr="000160C5">
        <w:rPr>
          <w:rFonts w:ascii="Times New Roman" w:hAnsi="Times New Roman" w:cs="Times New Roman"/>
          <w:sz w:val="28"/>
          <w:szCs w:val="28"/>
        </w:rPr>
        <w:t>, что публикация информации в ленте новостей осуществляется на безвозмездной основе</w:t>
      </w:r>
      <w:r w:rsidRPr="000160C5">
        <w:rPr>
          <w:rStyle w:val="a9"/>
          <w:rFonts w:ascii="Times New Roman" w:hAnsi="Times New Roman" w:cs="Times New Roman"/>
          <w:sz w:val="28"/>
          <w:szCs w:val="28"/>
        </w:rPr>
        <w:footnoteReference w:id="46"/>
      </w:r>
      <w:r w:rsidRPr="000160C5">
        <w:rPr>
          <w:rFonts w:ascii="Times New Roman" w:hAnsi="Times New Roman" w:cs="Times New Roman"/>
          <w:sz w:val="28"/>
          <w:szCs w:val="28"/>
        </w:rPr>
        <w:t xml:space="preserve">, для публикации сообщений эмитенту </w:t>
      </w:r>
      <w:r w:rsidR="004C592F" w:rsidRPr="000160C5">
        <w:rPr>
          <w:rFonts w:ascii="Times New Roman" w:hAnsi="Times New Roman" w:cs="Times New Roman"/>
          <w:sz w:val="28"/>
          <w:szCs w:val="28"/>
        </w:rPr>
        <w:t>достаточно</w:t>
      </w:r>
      <w:r w:rsidRPr="000160C5">
        <w:rPr>
          <w:rFonts w:ascii="Times New Roman" w:hAnsi="Times New Roman" w:cs="Times New Roman"/>
          <w:sz w:val="28"/>
          <w:szCs w:val="28"/>
        </w:rPr>
        <w:t xml:space="preserve"> пройти процедуру регистрации. Таким образом, для </w:t>
      </w:r>
      <w:r w:rsidRPr="000160C5">
        <w:rPr>
          <w:rFonts w:ascii="Times New Roman" w:hAnsi="Times New Roman" w:cs="Times New Roman"/>
          <w:sz w:val="28"/>
          <w:szCs w:val="28"/>
        </w:rPr>
        <w:lastRenderedPageBreak/>
        <w:t>раскрытия информации в ленте новостей информационных агентств не существует каких-либо административных или финансовых барьеров.</w:t>
      </w:r>
    </w:p>
    <w:p w:rsidR="005B3254" w:rsidRPr="000160C5" w:rsidRDefault="005B3254" w:rsidP="00366C90">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Вторым способом раскрытия информации эмитентами является опубликование определенной документации на сайте уполномоченных аген</w:t>
      </w:r>
      <w:proofErr w:type="gramStart"/>
      <w:r w:rsidRPr="000160C5">
        <w:rPr>
          <w:rFonts w:ascii="Times New Roman" w:hAnsi="Times New Roman" w:cs="Times New Roman"/>
          <w:sz w:val="28"/>
          <w:szCs w:val="28"/>
        </w:rPr>
        <w:t>тств в с</w:t>
      </w:r>
      <w:proofErr w:type="gramEnd"/>
      <w:r w:rsidRPr="000160C5">
        <w:rPr>
          <w:rFonts w:ascii="Times New Roman" w:hAnsi="Times New Roman" w:cs="Times New Roman"/>
          <w:sz w:val="28"/>
          <w:szCs w:val="28"/>
        </w:rPr>
        <w:t xml:space="preserve">ети Интернет. Ранее </w:t>
      </w:r>
      <w:r w:rsidR="003354C4" w:rsidRPr="000160C5">
        <w:rPr>
          <w:rFonts w:ascii="Times New Roman" w:hAnsi="Times New Roman" w:cs="Times New Roman"/>
          <w:sz w:val="28"/>
          <w:szCs w:val="28"/>
        </w:rPr>
        <w:t>эмитенты могли использовать как свой собственный сайт, так и иные страницы в Интернете (например, сайт</w:t>
      </w:r>
      <w:r w:rsidR="00FE139D" w:rsidRPr="000160C5">
        <w:rPr>
          <w:rFonts w:ascii="Times New Roman" w:hAnsi="Times New Roman" w:cs="Times New Roman"/>
          <w:sz w:val="28"/>
          <w:szCs w:val="28"/>
        </w:rPr>
        <w:t xml:space="preserve"> регистратора) для раскрытия информации, за исключением той, которая должна быть опубликована в ленте новостей.</w:t>
      </w:r>
      <w:r w:rsidR="004B1578" w:rsidRPr="000160C5">
        <w:rPr>
          <w:rFonts w:ascii="Times New Roman" w:hAnsi="Times New Roman" w:cs="Times New Roman"/>
          <w:sz w:val="28"/>
          <w:szCs w:val="28"/>
        </w:rPr>
        <w:t xml:space="preserve"> Новое Положение о раскрытии информации предусматривает, что эмитент должен использовать страницу в сети Интернет, предоставляемую одним из распространителей информации на рынке ценных бумаг.</w:t>
      </w:r>
      <w:r w:rsidR="00A811BF" w:rsidRPr="000160C5">
        <w:rPr>
          <w:rFonts w:ascii="Times New Roman" w:hAnsi="Times New Roman" w:cs="Times New Roman"/>
          <w:sz w:val="28"/>
          <w:szCs w:val="28"/>
        </w:rPr>
        <w:t xml:space="preserve"> Таким образом, с вступлением Положения о раскрытии информации в силу эмитенты не вправе использовать для раскрытия информации какие-либо иные ресурсы, кроме </w:t>
      </w:r>
      <w:proofErr w:type="gramStart"/>
      <w:r w:rsidR="00A811BF" w:rsidRPr="000160C5">
        <w:rPr>
          <w:rFonts w:ascii="Times New Roman" w:hAnsi="Times New Roman" w:cs="Times New Roman"/>
          <w:sz w:val="28"/>
          <w:szCs w:val="28"/>
        </w:rPr>
        <w:t>сайтов</w:t>
      </w:r>
      <w:proofErr w:type="gramEnd"/>
      <w:r w:rsidR="00A811BF" w:rsidRPr="000160C5">
        <w:rPr>
          <w:rFonts w:ascii="Times New Roman" w:hAnsi="Times New Roman" w:cs="Times New Roman"/>
          <w:sz w:val="28"/>
          <w:szCs w:val="28"/>
        </w:rPr>
        <w:t xml:space="preserve"> уполномоченных распространителей информации. </w:t>
      </w:r>
    </w:p>
    <w:p w:rsidR="00053144" w:rsidRPr="000160C5" w:rsidRDefault="00053144" w:rsidP="00366C90">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Стоит отметить, что далеко не все эмитенты должным образом исполнили обязанность по созданию страницы в сети Интернет, используемую для раскрытия информации, на базе ресурсов, предоставляемых информационными агентствами. Так, среди одного из наиболее часто встречающихся нарушений можно отметить нераскрытие сообщений об изменении адреса в сети Интернет</w:t>
      </w:r>
      <w:r w:rsidRPr="000160C5">
        <w:rPr>
          <w:rStyle w:val="a9"/>
          <w:rFonts w:ascii="Times New Roman" w:hAnsi="Times New Roman" w:cs="Times New Roman"/>
          <w:sz w:val="28"/>
          <w:szCs w:val="28"/>
        </w:rPr>
        <w:footnoteReference w:id="47"/>
      </w:r>
      <w:r w:rsidRPr="000160C5">
        <w:rPr>
          <w:rFonts w:ascii="Times New Roman" w:hAnsi="Times New Roman" w:cs="Times New Roman"/>
          <w:sz w:val="28"/>
          <w:szCs w:val="28"/>
        </w:rPr>
        <w:t>.</w:t>
      </w:r>
    </w:p>
    <w:p w:rsidR="00A811BF" w:rsidRPr="000160C5" w:rsidRDefault="00A811BF" w:rsidP="00366C90">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По данным, приводимым Д.А. </w:t>
      </w:r>
      <w:proofErr w:type="spellStart"/>
      <w:r w:rsidRPr="000160C5">
        <w:rPr>
          <w:rFonts w:ascii="Times New Roman" w:hAnsi="Times New Roman" w:cs="Times New Roman"/>
          <w:sz w:val="28"/>
          <w:szCs w:val="28"/>
        </w:rPr>
        <w:t>Вавулиным</w:t>
      </w:r>
      <w:proofErr w:type="spellEnd"/>
      <w:r w:rsidRPr="000160C5">
        <w:rPr>
          <w:rFonts w:ascii="Times New Roman" w:hAnsi="Times New Roman" w:cs="Times New Roman"/>
          <w:sz w:val="28"/>
          <w:szCs w:val="28"/>
        </w:rPr>
        <w:t>, стоимость публикации документов на сайте распространителей информации является необременительной для любого эмитента (для клиентов «Интерфакс» стоимость услуг составляет около 3 тысяч рублей в год). Таким образом, раскрытие информации не возложит н</w:t>
      </w:r>
      <w:r w:rsidR="00E66D94" w:rsidRPr="000160C5">
        <w:rPr>
          <w:rFonts w:ascii="Times New Roman" w:hAnsi="Times New Roman" w:cs="Times New Roman"/>
          <w:sz w:val="28"/>
          <w:szCs w:val="28"/>
        </w:rPr>
        <w:t>а</w:t>
      </w:r>
      <w:r w:rsidRPr="000160C5">
        <w:rPr>
          <w:rFonts w:ascii="Times New Roman" w:hAnsi="Times New Roman" w:cs="Times New Roman"/>
          <w:sz w:val="28"/>
          <w:szCs w:val="28"/>
        </w:rPr>
        <w:t xml:space="preserve"> эмитента непредвиденных расходов. </w:t>
      </w:r>
    </w:p>
    <w:p w:rsidR="007533F3" w:rsidRPr="000160C5" w:rsidRDefault="005E7021" w:rsidP="00366C90">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 xml:space="preserve">В США публичным источником сбора, обработки и распространения информации является система </w:t>
      </w:r>
      <w:r w:rsidRPr="000160C5">
        <w:rPr>
          <w:rFonts w:ascii="Times New Roman" w:hAnsi="Times New Roman" w:cs="Times New Roman"/>
          <w:sz w:val="28"/>
          <w:szCs w:val="28"/>
          <w:lang w:val="en-US"/>
        </w:rPr>
        <w:t>EDGAR</w:t>
      </w:r>
      <w:r w:rsidRPr="000160C5">
        <w:rPr>
          <w:rFonts w:ascii="Times New Roman" w:hAnsi="Times New Roman" w:cs="Times New Roman"/>
          <w:sz w:val="28"/>
          <w:szCs w:val="28"/>
        </w:rPr>
        <w:t xml:space="preserve">. За оперативность данного </w:t>
      </w:r>
      <w:r w:rsidRPr="000160C5">
        <w:rPr>
          <w:rFonts w:ascii="Times New Roman" w:hAnsi="Times New Roman" w:cs="Times New Roman"/>
          <w:sz w:val="28"/>
          <w:szCs w:val="28"/>
        </w:rPr>
        <w:lastRenderedPageBreak/>
        <w:t xml:space="preserve">публичного ресурса отвечает </w:t>
      </w:r>
      <w:r w:rsidR="007533F3" w:rsidRPr="000160C5">
        <w:rPr>
          <w:rFonts w:ascii="Times New Roman" w:hAnsi="Times New Roman" w:cs="Times New Roman"/>
          <w:sz w:val="28"/>
          <w:szCs w:val="28"/>
        </w:rPr>
        <w:t xml:space="preserve">одно из </w:t>
      </w:r>
      <w:r w:rsidRPr="000160C5">
        <w:rPr>
          <w:rFonts w:ascii="Times New Roman" w:hAnsi="Times New Roman" w:cs="Times New Roman"/>
          <w:sz w:val="28"/>
          <w:szCs w:val="28"/>
        </w:rPr>
        <w:t>подразделени</w:t>
      </w:r>
      <w:r w:rsidR="007533F3" w:rsidRPr="000160C5">
        <w:rPr>
          <w:rFonts w:ascii="Times New Roman" w:hAnsi="Times New Roman" w:cs="Times New Roman"/>
          <w:sz w:val="28"/>
          <w:szCs w:val="28"/>
        </w:rPr>
        <w:t>й</w:t>
      </w:r>
      <w:r w:rsidRPr="000160C5">
        <w:rPr>
          <w:rFonts w:ascii="Times New Roman" w:hAnsi="Times New Roman" w:cs="Times New Roman"/>
          <w:sz w:val="28"/>
          <w:szCs w:val="28"/>
        </w:rPr>
        <w:t xml:space="preserve"> Комиссии США: более 500 000 финансовых отчетов публикуется в данной системе ежегодно</w:t>
      </w:r>
      <w:r w:rsidRPr="000160C5">
        <w:rPr>
          <w:rStyle w:val="a9"/>
          <w:rFonts w:ascii="Times New Roman" w:hAnsi="Times New Roman" w:cs="Times New Roman"/>
          <w:sz w:val="28"/>
          <w:szCs w:val="28"/>
        </w:rPr>
        <w:footnoteReference w:id="48"/>
      </w:r>
      <w:r w:rsidRPr="000160C5">
        <w:rPr>
          <w:rFonts w:ascii="Times New Roman" w:hAnsi="Times New Roman" w:cs="Times New Roman"/>
          <w:sz w:val="28"/>
          <w:szCs w:val="28"/>
        </w:rPr>
        <w:t xml:space="preserve">. </w:t>
      </w:r>
    </w:p>
    <w:p w:rsidR="00B12E69" w:rsidRPr="000160C5" w:rsidRDefault="005E7021" w:rsidP="00366C90">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Обязанность публичных компаний раскрывать информацию посредством данного ресурса появилась у компаний с 1996 года</w:t>
      </w:r>
      <w:r w:rsidRPr="000160C5">
        <w:rPr>
          <w:rStyle w:val="a9"/>
          <w:rFonts w:ascii="Times New Roman" w:hAnsi="Times New Roman" w:cs="Times New Roman"/>
          <w:sz w:val="28"/>
          <w:szCs w:val="28"/>
        </w:rPr>
        <w:footnoteReference w:id="49"/>
      </w:r>
      <w:r w:rsidRPr="000160C5">
        <w:rPr>
          <w:rFonts w:ascii="Times New Roman" w:hAnsi="Times New Roman" w:cs="Times New Roman"/>
          <w:sz w:val="28"/>
          <w:szCs w:val="28"/>
        </w:rPr>
        <w:t xml:space="preserve">. Однако на текущий момент среди многочисленных форм раскрытия информации эмитентами не вся информация доступна </w:t>
      </w:r>
      <w:r w:rsidR="00EF0513" w:rsidRPr="000160C5">
        <w:rPr>
          <w:rFonts w:ascii="Times New Roman" w:hAnsi="Times New Roman" w:cs="Times New Roman"/>
          <w:sz w:val="28"/>
          <w:szCs w:val="28"/>
        </w:rPr>
        <w:t xml:space="preserve">через систему </w:t>
      </w:r>
      <w:r w:rsidR="00EF0513" w:rsidRPr="000160C5">
        <w:rPr>
          <w:rFonts w:ascii="Times New Roman" w:hAnsi="Times New Roman" w:cs="Times New Roman"/>
          <w:sz w:val="28"/>
          <w:szCs w:val="28"/>
          <w:lang w:val="en-US"/>
        </w:rPr>
        <w:t>EDGAR</w:t>
      </w:r>
      <w:r w:rsidR="00EF0513" w:rsidRPr="000160C5">
        <w:rPr>
          <w:rFonts w:ascii="Times New Roman" w:hAnsi="Times New Roman" w:cs="Times New Roman"/>
          <w:sz w:val="28"/>
          <w:szCs w:val="28"/>
        </w:rPr>
        <w:t xml:space="preserve">. Официальным отчетом считается электронное раскрытие, бумажная версия отчета не является надлежащей формой раскрытия информации эмитентом. </w:t>
      </w:r>
    </w:p>
    <w:p w:rsidR="00E167FE" w:rsidRPr="000160C5" w:rsidRDefault="007533F3" w:rsidP="00366C90">
      <w:pPr>
        <w:spacing w:after="0" w:line="360" w:lineRule="auto"/>
        <w:ind w:firstLine="709"/>
        <w:contextualSpacing/>
        <w:jc w:val="both"/>
        <w:rPr>
          <w:rFonts w:ascii="Times New Roman" w:hAnsi="Times New Roman" w:cs="Times New Roman"/>
          <w:sz w:val="28"/>
          <w:szCs w:val="28"/>
        </w:rPr>
      </w:pPr>
      <w:r w:rsidRPr="000160C5">
        <w:rPr>
          <w:rFonts w:ascii="Times New Roman" w:hAnsi="Times New Roman" w:cs="Times New Roman"/>
          <w:sz w:val="28"/>
          <w:szCs w:val="28"/>
        </w:rPr>
        <w:t>Итак, ввиду того</w:t>
      </w:r>
      <w:r w:rsidR="00B12E69" w:rsidRPr="000160C5">
        <w:rPr>
          <w:rFonts w:ascii="Times New Roman" w:hAnsi="Times New Roman" w:cs="Times New Roman"/>
          <w:sz w:val="28"/>
          <w:szCs w:val="28"/>
        </w:rPr>
        <w:t>, что система раскрытия информации должна максимально отвечать требованиям доступности информации широкому кругу лиц, в современных условиях</w:t>
      </w:r>
      <w:r w:rsidRPr="000160C5">
        <w:rPr>
          <w:rFonts w:ascii="Times New Roman" w:hAnsi="Times New Roman" w:cs="Times New Roman"/>
          <w:sz w:val="28"/>
          <w:szCs w:val="28"/>
        </w:rPr>
        <w:t xml:space="preserve"> это</w:t>
      </w:r>
      <w:r w:rsidR="00B12E69" w:rsidRPr="000160C5">
        <w:rPr>
          <w:rFonts w:ascii="Times New Roman" w:hAnsi="Times New Roman" w:cs="Times New Roman"/>
          <w:sz w:val="28"/>
          <w:szCs w:val="28"/>
        </w:rPr>
        <w:t xml:space="preserve"> стало возможно благодаря сети Интернет. В связи с этим и в США, и в России раскрытие информации осуществляется через соответствующие ресурсы в сети для целей предоставления инвесторам доступа к информации.</w:t>
      </w:r>
      <w:r w:rsidRPr="000160C5">
        <w:rPr>
          <w:rFonts w:ascii="Times New Roman" w:hAnsi="Times New Roman" w:cs="Times New Roman"/>
          <w:sz w:val="28"/>
          <w:szCs w:val="28"/>
        </w:rPr>
        <w:t xml:space="preserve"> Однако если в России уполномоченные агентства, отвечающие за раскрытие информации с точки зрения предоставления ресурса и технической поддержки, являются коммерческими структурами, то в США подобную роль выполняет подразделение государственной структуры – Комиссии США.</w:t>
      </w:r>
      <w:r w:rsidR="00B12E69" w:rsidRPr="000160C5">
        <w:rPr>
          <w:rFonts w:ascii="Times New Roman" w:hAnsi="Times New Roman" w:cs="Times New Roman"/>
          <w:sz w:val="28"/>
          <w:szCs w:val="28"/>
        </w:rPr>
        <w:t xml:space="preserve"> </w:t>
      </w:r>
    </w:p>
    <w:p w:rsidR="005E7021" w:rsidRPr="000160C5" w:rsidRDefault="00E167FE" w:rsidP="003968F6">
      <w:pPr>
        <w:pStyle w:val="2"/>
        <w:rPr>
          <w:rFonts w:cs="Times New Roman"/>
          <w:szCs w:val="28"/>
        </w:rPr>
      </w:pPr>
      <w:bookmarkStart w:id="13" w:name="_Toc356162053"/>
      <w:r w:rsidRPr="000160C5">
        <w:rPr>
          <w:rFonts w:cs="Times New Roman"/>
          <w:szCs w:val="28"/>
        </w:rPr>
        <w:t>§</w:t>
      </w:r>
      <w:r w:rsidR="002D30BA" w:rsidRPr="000160C5">
        <w:rPr>
          <w:rFonts w:cs="Times New Roman"/>
          <w:szCs w:val="28"/>
        </w:rPr>
        <w:t>3.</w:t>
      </w:r>
      <w:r w:rsidRPr="000160C5">
        <w:rPr>
          <w:rFonts w:cs="Times New Roman"/>
          <w:szCs w:val="28"/>
        </w:rPr>
        <w:t xml:space="preserve"> Освобождение от раскрытия информации</w:t>
      </w:r>
      <w:bookmarkEnd w:id="13"/>
      <w:r w:rsidR="005E7021" w:rsidRPr="000160C5">
        <w:rPr>
          <w:rFonts w:cs="Times New Roman"/>
          <w:szCs w:val="28"/>
        </w:rPr>
        <w:t xml:space="preserve">  </w:t>
      </w:r>
    </w:p>
    <w:p w:rsidR="0043082F" w:rsidRPr="000160C5" w:rsidRDefault="002274FB" w:rsidP="0043082F">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На любое правило есть исключения: этот принцип работает</w:t>
      </w:r>
      <w:r w:rsidR="00FB59A1">
        <w:rPr>
          <w:rFonts w:ascii="Times New Roman" w:hAnsi="Times New Roman" w:cs="Times New Roman"/>
          <w:sz w:val="28"/>
          <w:szCs w:val="28"/>
        </w:rPr>
        <w:t>,</w:t>
      </w:r>
      <w:r w:rsidRPr="000160C5">
        <w:rPr>
          <w:rFonts w:ascii="Times New Roman" w:hAnsi="Times New Roman" w:cs="Times New Roman"/>
          <w:sz w:val="28"/>
          <w:szCs w:val="28"/>
        </w:rPr>
        <w:t xml:space="preserve"> в том числе</w:t>
      </w:r>
      <w:r w:rsidR="00FB59A1">
        <w:rPr>
          <w:rFonts w:ascii="Times New Roman" w:hAnsi="Times New Roman" w:cs="Times New Roman"/>
          <w:sz w:val="28"/>
          <w:szCs w:val="28"/>
        </w:rPr>
        <w:t>,</w:t>
      </w:r>
      <w:r w:rsidRPr="000160C5">
        <w:rPr>
          <w:rFonts w:ascii="Times New Roman" w:hAnsi="Times New Roman" w:cs="Times New Roman"/>
          <w:sz w:val="28"/>
          <w:szCs w:val="28"/>
        </w:rPr>
        <w:t xml:space="preserve"> и для обязательного раскрытия информации эмитентами. </w:t>
      </w:r>
      <w:r w:rsidR="0043082F" w:rsidRPr="000160C5">
        <w:rPr>
          <w:rFonts w:ascii="Times New Roman" w:hAnsi="Times New Roman" w:cs="Times New Roman"/>
          <w:sz w:val="28"/>
          <w:szCs w:val="28"/>
        </w:rPr>
        <w:t xml:space="preserve">Законодательством </w:t>
      </w:r>
      <w:r w:rsidRPr="000160C5">
        <w:rPr>
          <w:rFonts w:ascii="Times New Roman" w:hAnsi="Times New Roman" w:cs="Times New Roman"/>
          <w:sz w:val="28"/>
          <w:szCs w:val="28"/>
        </w:rPr>
        <w:t xml:space="preserve">России </w:t>
      </w:r>
      <w:r w:rsidR="0043082F" w:rsidRPr="000160C5">
        <w:rPr>
          <w:rFonts w:ascii="Times New Roman" w:hAnsi="Times New Roman" w:cs="Times New Roman"/>
          <w:sz w:val="28"/>
          <w:szCs w:val="28"/>
        </w:rPr>
        <w:t>предусмотрены случаи освобождения эмитента, являющегося акционерным обществом, от обязательного раскрытия информации при соблюдении последним ряда условий.</w:t>
      </w:r>
    </w:p>
    <w:p w:rsidR="0043082F" w:rsidRPr="000160C5" w:rsidRDefault="0043082F" w:rsidP="0043082F">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Во-первых, решение о подаче заявления в ФСФР об освобождении эмитента от раскрытия информации должно быть принято решением общего собрания акционеров большинством в три четверти голосов акционеров, </w:t>
      </w:r>
      <w:r w:rsidRPr="000160C5">
        <w:rPr>
          <w:rFonts w:ascii="Times New Roman" w:hAnsi="Times New Roman" w:cs="Times New Roman"/>
          <w:sz w:val="28"/>
          <w:szCs w:val="28"/>
        </w:rPr>
        <w:lastRenderedPageBreak/>
        <w:t xml:space="preserve">принимающих участие в общем собрании </w:t>
      </w:r>
      <w:r w:rsidR="009923E3" w:rsidRPr="000160C5">
        <w:rPr>
          <w:rFonts w:ascii="Times New Roman" w:hAnsi="Times New Roman" w:cs="Times New Roman"/>
          <w:sz w:val="28"/>
          <w:szCs w:val="28"/>
        </w:rPr>
        <w:t xml:space="preserve">акционеров. При раскладе обыкновенных акций к привилегированным как 75/25 достаточно 28,13% голосов акционеров для принятия </w:t>
      </w:r>
      <w:r w:rsidR="002274FB" w:rsidRPr="000160C5">
        <w:rPr>
          <w:rFonts w:ascii="Times New Roman" w:hAnsi="Times New Roman" w:cs="Times New Roman"/>
          <w:sz w:val="28"/>
          <w:szCs w:val="28"/>
        </w:rPr>
        <w:t xml:space="preserve">такого </w:t>
      </w:r>
      <w:r w:rsidR="009923E3" w:rsidRPr="000160C5">
        <w:rPr>
          <w:rFonts w:ascii="Times New Roman" w:hAnsi="Times New Roman" w:cs="Times New Roman"/>
          <w:sz w:val="28"/>
          <w:szCs w:val="28"/>
        </w:rPr>
        <w:t>решения</w:t>
      </w:r>
      <w:r w:rsidR="002274FB" w:rsidRPr="000160C5">
        <w:rPr>
          <w:rFonts w:ascii="Times New Roman" w:hAnsi="Times New Roman" w:cs="Times New Roman"/>
          <w:sz w:val="28"/>
          <w:szCs w:val="28"/>
        </w:rPr>
        <w:t>, что подразумевает возможность мажоритарных акционеров манипулировать данной нормой в своих целях (</w:t>
      </w:r>
      <w:proofErr w:type="gramStart"/>
      <w:r w:rsidR="002274FB" w:rsidRPr="000160C5">
        <w:rPr>
          <w:rFonts w:ascii="Times New Roman" w:hAnsi="Times New Roman" w:cs="Times New Roman"/>
          <w:sz w:val="28"/>
          <w:szCs w:val="28"/>
        </w:rPr>
        <w:t>см</w:t>
      </w:r>
      <w:proofErr w:type="gramEnd"/>
      <w:r w:rsidR="002274FB" w:rsidRPr="000160C5">
        <w:rPr>
          <w:rFonts w:ascii="Times New Roman" w:hAnsi="Times New Roman" w:cs="Times New Roman"/>
          <w:sz w:val="28"/>
          <w:szCs w:val="28"/>
        </w:rPr>
        <w:t>. ниже)</w:t>
      </w:r>
      <w:r w:rsidR="009923E3" w:rsidRPr="000160C5">
        <w:rPr>
          <w:rFonts w:ascii="Times New Roman" w:hAnsi="Times New Roman" w:cs="Times New Roman"/>
          <w:sz w:val="28"/>
          <w:szCs w:val="28"/>
        </w:rPr>
        <w:t>.</w:t>
      </w:r>
    </w:p>
    <w:p w:rsidR="009923E3" w:rsidRPr="000160C5" w:rsidRDefault="009923E3" w:rsidP="0043082F">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Во-вторых, у эмитента отсутствуют иные эмиссионные ценные бумаги, кроме акций, в отношении которых зарегистрирован проспект.</w:t>
      </w:r>
    </w:p>
    <w:p w:rsidR="009923E3" w:rsidRPr="000160C5" w:rsidRDefault="009923E3" w:rsidP="0043082F">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В-третьих, ценные бумаги эмитента не допущены к организованны</w:t>
      </w:r>
      <w:r w:rsidR="006D5910" w:rsidRPr="000160C5">
        <w:rPr>
          <w:rFonts w:ascii="Times New Roman" w:hAnsi="Times New Roman" w:cs="Times New Roman"/>
          <w:sz w:val="28"/>
          <w:szCs w:val="28"/>
        </w:rPr>
        <w:t>м</w:t>
      </w:r>
      <w:r w:rsidRPr="000160C5">
        <w:rPr>
          <w:rFonts w:ascii="Times New Roman" w:hAnsi="Times New Roman" w:cs="Times New Roman"/>
          <w:sz w:val="28"/>
          <w:szCs w:val="28"/>
        </w:rPr>
        <w:t xml:space="preserve"> торгам. </w:t>
      </w:r>
    </w:p>
    <w:p w:rsidR="004C5E30" w:rsidRPr="000160C5" w:rsidRDefault="004C5E30" w:rsidP="0043082F">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В-четвертых, число акционеров </w:t>
      </w:r>
      <w:r w:rsidR="006D5910" w:rsidRPr="000160C5">
        <w:rPr>
          <w:rFonts w:ascii="Times New Roman" w:hAnsi="Times New Roman" w:cs="Times New Roman"/>
          <w:sz w:val="28"/>
          <w:szCs w:val="28"/>
        </w:rPr>
        <w:t xml:space="preserve">такого общества </w:t>
      </w:r>
      <w:r w:rsidRPr="000160C5">
        <w:rPr>
          <w:rFonts w:ascii="Times New Roman" w:hAnsi="Times New Roman" w:cs="Times New Roman"/>
          <w:sz w:val="28"/>
          <w:szCs w:val="28"/>
        </w:rPr>
        <w:t xml:space="preserve">не превышает 500. </w:t>
      </w:r>
    </w:p>
    <w:p w:rsidR="004C5E30" w:rsidRPr="000160C5" w:rsidRDefault="004C5E30" w:rsidP="0043082F">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При наличии всех указанных выше условий в совокупности эмитент может претендовать на освобождение от раскрытия информации. </w:t>
      </w:r>
    </w:p>
    <w:p w:rsidR="00E21CB0" w:rsidRPr="000160C5" w:rsidRDefault="006D5910" w:rsidP="0043082F">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Рассмотрим гипотетически</w:t>
      </w:r>
      <w:r w:rsidR="00FB59A1">
        <w:rPr>
          <w:rFonts w:ascii="Times New Roman" w:hAnsi="Times New Roman" w:cs="Times New Roman"/>
          <w:sz w:val="28"/>
          <w:szCs w:val="28"/>
        </w:rPr>
        <w:t xml:space="preserve">й пример, показывающий проблемы </w:t>
      </w:r>
      <w:r w:rsidRPr="000160C5">
        <w:rPr>
          <w:rFonts w:ascii="Times New Roman" w:hAnsi="Times New Roman" w:cs="Times New Roman"/>
          <w:sz w:val="28"/>
          <w:szCs w:val="28"/>
        </w:rPr>
        <w:t>исключительно формального подхода</w:t>
      </w:r>
      <w:r w:rsidR="00FB59A1">
        <w:rPr>
          <w:rFonts w:ascii="Times New Roman" w:hAnsi="Times New Roman" w:cs="Times New Roman"/>
          <w:sz w:val="28"/>
          <w:szCs w:val="28"/>
        </w:rPr>
        <w:t xml:space="preserve"> российского законодательства</w:t>
      </w:r>
      <w:r w:rsidRPr="000160C5">
        <w:rPr>
          <w:rFonts w:ascii="Times New Roman" w:hAnsi="Times New Roman" w:cs="Times New Roman"/>
          <w:sz w:val="28"/>
          <w:szCs w:val="28"/>
        </w:rPr>
        <w:t xml:space="preserve"> к освобождению эмитента от раскрытия информации.</w:t>
      </w:r>
    </w:p>
    <w:p w:rsidR="006D5910" w:rsidRPr="000160C5" w:rsidRDefault="006D5910" w:rsidP="0043082F">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Существует некое общество (Холдинг), основными активами которого являются дочерние компании, где сосредоточен основной бизнес группы. </w:t>
      </w:r>
      <w:r w:rsidR="002F1401" w:rsidRPr="000160C5">
        <w:rPr>
          <w:rFonts w:ascii="Times New Roman" w:hAnsi="Times New Roman" w:cs="Times New Roman"/>
          <w:sz w:val="28"/>
          <w:szCs w:val="28"/>
        </w:rPr>
        <w:t>Ценные бумаги</w:t>
      </w:r>
      <w:r w:rsidRPr="000160C5">
        <w:rPr>
          <w:rFonts w:ascii="Times New Roman" w:hAnsi="Times New Roman" w:cs="Times New Roman"/>
          <w:sz w:val="28"/>
          <w:szCs w:val="28"/>
        </w:rPr>
        <w:t xml:space="preserve"> Холдинга торгуются на бирже</w:t>
      </w:r>
      <w:r w:rsidR="002F1401" w:rsidRPr="000160C5">
        <w:rPr>
          <w:rFonts w:ascii="Times New Roman" w:hAnsi="Times New Roman" w:cs="Times New Roman"/>
          <w:sz w:val="28"/>
          <w:szCs w:val="28"/>
        </w:rPr>
        <w:t xml:space="preserve">, привлекая тем самым денежные средства широкого круга лиц, что порождает обязанность Холдинга раскрывать информацию. Однако сам по себе Холдинг «пустой», у него нет активов, так как вся хозяйственная деятельность ведется его дочерними компаниями. Инвесторы Холдинга – прежде всего, инвесторы дочерних компаний, в </w:t>
      </w:r>
      <w:proofErr w:type="gramStart"/>
      <w:r w:rsidR="002F1401" w:rsidRPr="000160C5">
        <w:rPr>
          <w:rFonts w:ascii="Times New Roman" w:hAnsi="Times New Roman" w:cs="Times New Roman"/>
          <w:sz w:val="28"/>
          <w:szCs w:val="28"/>
        </w:rPr>
        <w:t>связи</w:t>
      </w:r>
      <w:proofErr w:type="gramEnd"/>
      <w:r w:rsidR="002F1401" w:rsidRPr="000160C5">
        <w:rPr>
          <w:rFonts w:ascii="Times New Roman" w:hAnsi="Times New Roman" w:cs="Times New Roman"/>
          <w:sz w:val="28"/>
          <w:szCs w:val="28"/>
        </w:rPr>
        <w:t xml:space="preserve"> с чем они заинтересованы в получении полной картины об этих обществах. </w:t>
      </w:r>
      <w:proofErr w:type="gramStart"/>
      <w:r w:rsidR="002F1401" w:rsidRPr="000160C5">
        <w:rPr>
          <w:rFonts w:ascii="Times New Roman" w:hAnsi="Times New Roman" w:cs="Times New Roman"/>
          <w:sz w:val="28"/>
          <w:szCs w:val="28"/>
        </w:rPr>
        <w:t xml:space="preserve">Дочерние компании являются акционерными обществами с числом акционеров менее 500, акции которых не котируются на бирже, иных эмиссионных ценных бумаг общества не выпускали,  и решением большинства (Холдинг является мажоритарным владельцем, если не стопроцентным) дочерние компании могут быть легко освобождены от раскрытия информации, лишая тем самым инвесторов Холдинга возможности получить интересующую их информацию о дочерних </w:t>
      </w:r>
      <w:r w:rsidR="002F1401" w:rsidRPr="000160C5">
        <w:rPr>
          <w:rFonts w:ascii="Times New Roman" w:hAnsi="Times New Roman" w:cs="Times New Roman"/>
          <w:sz w:val="28"/>
          <w:szCs w:val="28"/>
        </w:rPr>
        <w:lastRenderedPageBreak/>
        <w:t>компаниях.</w:t>
      </w:r>
      <w:proofErr w:type="gramEnd"/>
      <w:r w:rsidR="002F1401" w:rsidRPr="000160C5">
        <w:rPr>
          <w:rFonts w:ascii="Times New Roman" w:hAnsi="Times New Roman" w:cs="Times New Roman"/>
          <w:sz w:val="28"/>
          <w:szCs w:val="28"/>
        </w:rPr>
        <w:t xml:space="preserve"> Формально – подобная ситуация полностью отвечает </w:t>
      </w:r>
      <w:r w:rsidR="00601389" w:rsidRPr="000160C5">
        <w:rPr>
          <w:rFonts w:ascii="Times New Roman" w:hAnsi="Times New Roman" w:cs="Times New Roman"/>
          <w:sz w:val="28"/>
          <w:szCs w:val="28"/>
        </w:rPr>
        <w:t xml:space="preserve">нормативно </w:t>
      </w:r>
      <w:r w:rsidR="002F1401" w:rsidRPr="000160C5">
        <w:rPr>
          <w:rFonts w:ascii="Times New Roman" w:hAnsi="Times New Roman" w:cs="Times New Roman"/>
          <w:sz w:val="28"/>
          <w:szCs w:val="28"/>
        </w:rPr>
        <w:t>закрепленным условиям</w:t>
      </w:r>
      <w:r w:rsidR="00BA5034" w:rsidRPr="000160C5">
        <w:rPr>
          <w:rFonts w:ascii="Times New Roman" w:hAnsi="Times New Roman" w:cs="Times New Roman"/>
          <w:sz w:val="28"/>
          <w:szCs w:val="28"/>
        </w:rPr>
        <w:t xml:space="preserve"> освобождения эмитента от раскрытия информации</w:t>
      </w:r>
      <w:r w:rsidR="002F1401" w:rsidRPr="000160C5">
        <w:rPr>
          <w:rFonts w:ascii="Times New Roman" w:hAnsi="Times New Roman" w:cs="Times New Roman"/>
          <w:sz w:val="28"/>
          <w:szCs w:val="28"/>
        </w:rPr>
        <w:t>. Однако смысловое наполнение подобной ситуации позволяет дорисовать ее до различного рода манипуляций со стороны мажоритарного владельца Холдинга.</w:t>
      </w:r>
      <w:r w:rsidR="00BA5034" w:rsidRPr="000160C5">
        <w:rPr>
          <w:rFonts w:ascii="Times New Roman" w:hAnsi="Times New Roman" w:cs="Times New Roman"/>
          <w:sz w:val="28"/>
          <w:szCs w:val="28"/>
        </w:rPr>
        <w:t xml:space="preserve"> В связи </w:t>
      </w:r>
      <w:proofErr w:type="gramStart"/>
      <w:r w:rsidR="00BA5034" w:rsidRPr="000160C5">
        <w:rPr>
          <w:rFonts w:ascii="Times New Roman" w:hAnsi="Times New Roman" w:cs="Times New Roman"/>
          <w:sz w:val="28"/>
          <w:szCs w:val="28"/>
        </w:rPr>
        <w:t>с</w:t>
      </w:r>
      <w:proofErr w:type="gramEnd"/>
      <w:r w:rsidR="00BA5034" w:rsidRPr="000160C5">
        <w:rPr>
          <w:rFonts w:ascii="Times New Roman" w:hAnsi="Times New Roman" w:cs="Times New Roman"/>
          <w:sz w:val="28"/>
          <w:szCs w:val="28"/>
        </w:rPr>
        <w:t xml:space="preserve"> </w:t>
      </w:r>
      <w:proofErr w:type="gramStart"/>
      <w:r w:rsidR="00BA5034" w:rsidRPr="000160C5">
        <w:rPr>
          <w:rFonts w:ascii="Times New Roman" w:hAnsi="Times New Roman" w:cs="Times New Roman"/>
          <w:sz w:val="28"/>
          <w:szCs w:val="28"/>
        </w:rPr>
        <w:t>изложенным</w:t>
      </w:r>
      <w:proofErr w:type="gramEnd"/>
      <w:r w:rsidR="00BA5034" w:rsidRPr="000160C5">
        <w:rPr>
          <w:rFonts w:ascii="Times New Roman" w:hAnsi="Times New Roman" w:cs="Times New Roman"/>
          <w:sz w:val="28"/>
          <w:szCs w:val="28"/>
        </w:rPr>
        <w:t xml:space="preserve"> считается рациональным подходить к вопросу освобождения от раскрытия информации, основываясь не исключительно на формальных требованиях, но и </w:t>
      </w:r>
      <w:r w:rsidR="00601389">
        <w:rPr>
          <w:rFonts w:ascii="Times New Roman" w:hAnsi="Times New Roman" w:cs="Times New Roman"/>
          <w:sz w:val="28"/>
          <w:szCs w:val="28"/>
        </w:rPr>
        <w:t>на</w:t>
      </w:r>
      <w:r w:rsidR="00BA5034" w:rsidRPr="000160C5">
        <w:rPr>
          <w:rFonts w:ascii="Times New Roman" w:hAnsi="Times New Roman" w:cs="Times New Roman"/>
          <w:sz w:val="28"/>
          <w:szCs w:val="28"/>
        </w:rPr>
        <w:t xml:space="preserve"> всесторонн</w:t>
      </w:r>
      <w:r w:rsidR="00601389">
        <w:rPr>
          <w:rFonts w:ascii="Times New Roman" w:hAnsi="Times New Roman" w:cs="Times New Roman"/>
          <w:sz w:val="28"/>
          <w:szCs w:val="28"/>
        </w:rPr>
        <w:t>ем детально</w:t>
      </w:r>
      <w:r w:rsidR="00BA5034" w:rsidRPr="000160C5">
        <w:rPr>
          <w:rFonts w:ascii="Times New Roman" w:hAnsi="Times New Roman" w:cs="Times New Roman"/>
          <w:sz w:val="28"/>
          <w:szCs w:val="28"/>
        </w:rPr>
        <w:t>м анализ</w:t>
      </w:r>
      <w:r w:rsidR="00601389">
        <w:rPr>
          <w:rFonts w:ascii="Times New Roman" w:hAnsi="Times New Roman" w:cs="Times New Roman"/>
          <w:sz w:val="28"/>
          <w:szCs w:val="28"/>
        </w:rPr>
        <w:t>е</w:t>
      </w:r>
      <w:r w:rsidR="00BA5034" w:rsidRPr="000160C5">
        <w:rPr>
          <w:rFonts w:ascii="Times New Roman" w:hAnsi="Times New Roman" w:cs="Times New Roman"/>
          <w:sz w:val="28"/>
          <w:szCs w:val="28"/>
        </w:rPr>
        <w:t xml:space="preserve"> каждой конкретной ситуации. </w:t>
      </w:r>
      <w:r w:rsidR="002F1401" w:rsidRPr="000160C5">
        <w:rPr>
          <w:rFonts w:ascii="Times New Roman" w:hAnsi="Times New Roman" w:cs="Times New Roman"/>
          <w:sz w:val="28"/>
          <w:szCs w:val="28"/>
        </w:rPr>
        <w:t xml:space="preserve">   </w:t>
      </w:r>
      <w:r w:rsidRPr="000160C5">
        <w:rPr>
          <w:rFonts w:ascii="Times New Roman" w:hAnsi="Times New Roman" w:cs="Times New Roman"/>
          <w:sz w:val="28"/>
          <w:szCs w:val="28"/>
        </w:rPr>
        <w:t xml:space="preserve">  </w:t>
      </w:r>
    </w:p>
    <w:p w:rsidR="009E1196" w:rsidRPr="000160C5" w:rsidRDefault="00E21CB0" w:rsidP="0043082F">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Законодательством США </w:t>
      </w:r>
      <w:r w:rsidR="00F26CEE" w:rsidRPr="000160C5">
        <w:rPr>
          <w:rFonts w:ascii="Times New Roman" w:hAnsi="Times New Roman" w:cs="Times New Roman"/>
          <w:sz w:val="28"/>
          <w:szCs w:val="28"/>
        </w:rPr>
        <w:t xml:space="preserve">также </w:t>
      </w:r>
      <w:r w:rsidRPr="000160C5">
        <w:rPr>
          <w:rFonts w:ascii="Times New Roman" w:hAnsi="Times New Roman" w:cs="Times New Roman"/>
          <w:sz w:val="28"/>
          <w:szCs w:val="28"/>
        </w:rPr>
        <w:t xml:space="preserve">предусмотрены случаи освобождения </w:t>
      </w:r>
      <w:r w:rsidR="00601389">
        <w:rPr>
          <w:rFonts w:ascii="Times New Roman" w:hAnsi="Times New Roman" w:cs="Times New Roman"/>
          <w:sz w:val="28"/>
          <w:szCs w:val="28"/>
        </w:rPr>
        <w:t xml:space="preserve">эмитентов. Подобное освобождение возможно еще на этапе </w:t>
      </w:r>
      <w:r w:rsidRPr="000160C5">
        <w:rPr>
          <w:rFonts w:ascii="Times New Roman" w:hAnsi="Times New Roman" w:cs="Times New Roman"/>
          <w:sz w:val="28"/>
          <w:szCs w:val="28"/>
        </w:rPr>
        <w:t xml:space="preserve">регистрации ценных бумаг </w:t>
      </w:r>
      <w:r w:rsidR="00601389">
        <w:rPr>
          <w:rFonts w:ascii="Times New Roman" w:hAnsi="Times New Roman" w:cs="Times New Roman"/>
          <w:sz w:val="28"/>
          <w:szCs w:val="28"/>
        </w:rPr>
        <w:t>при</w:t>
      </w:r>
      <w:r w:rsidRPr="000160C5">
        <w:rPr>
          <w:rFonts w:ascii="Times New Roman" w:hAnsi="Times New Roman" w:cs="Times New Roman"/>
          <w:sz w:val="28"/>
          <w:szCs w:val="28"/>
        </w:rPr>
        <w:t xml:space="preserve"> </w:t>
      </w:r>
      <w:r w:rsidR="00601389">
        <w:rPr>
          <w:rFonts w:ascii="Times New Roman" w:hAnsi="Times New Roman" w:cs="Times New Roman"/>
          <w:sz w:val="28"/>
          <w:szCs w:val="28"/>
        </w:rPr>
        <w:t>их</w:t>
      </w:r>
      <w:r w:rsidRPr="000160C5">
        <w:rPr>
          <w:rFonts w:ascii="Times New Roman" w:hAnsi="Times New Roman" w:cs="Times New Roman"/>
          <w:sz w:val="28"/>
          <w:szCs w:val="28"/>
        </w:rPr>
        <w:t xml:space="preserve"> эмиссии. </w:t>
      </w:r>
      <w:proofErr w:type="gramStart"/>
      <w:r w:rsidRPr="000160C5">
        <w:rPr>
          <w:rFonts w:ascii="Times New Roman" w:hAnsi="Times New Roman" w:cs="Times New Roman"/>
          <w:sz w:val="28"/>
          <w:szCs w:val="28"/>
        </w:rPr>
        <w:t>Освобождаются от регистрации определенные категории ценных бумаг (см. выше), так как, например, они уже подпадают под какое-либо иное регулирование (государственные, банковские ценные бумаги, страховые полисы), а также определенные сделки с ценными бумагами, например, сделки, в которых не участвуют эмитент, дилер, андеррайтер</w:t>
      </w:r>
      <w:r w:rsidR="00086BE5" w:rsidRPr="000160C5">
        <w:rPr>
          <w:rFonts w:ascii="Times New Roman" w:hAnsi="Times New Roman" w:cs="Times New Roman"/>
          <w:sz w:val="28"/>
          <w:szCs w:val="28"/>
        </w:rPr>
        <w:t>, или сделки эмитента, который не делал публичное предложение ценных бумаг.</w:t>
      </w:r>
      <w:proofErr w:type="gramEnd"/>
    </w:p>
    <w:p w:rsidR="005A30A6" w:rsidRPr="000160C5" w:rsidRDefault="009E1196" w:rsidP="0043082F">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Что касается освобождения эмитента от периодического раскрытия, то здесь скорее применимо выражение, что эмитент не подпадает под обязанность периодически раскрывать информацию по формальным критериям: стоимость активов менее 10 миллионов долларов и количество владельцев ценных бумаг менее 500. </w:t>
      </w:r>
    </w:p>
    <w:p w:rsidR="004C5E30" w:rsidRPr="000160C5" w:rsidRDefault="005A30A6" w:rsidP="0043082F">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Таким образом, законодательство США и России отличаются принципиально разным подходом. Законодат</w:t>
      </w:r>
      <w:r w:rsidR="00F26CEE" w:rsidRPr="000160C5">
        <w:rPr>
          <w:rFonts w:ascii="Times New Roman" w:hAnsi="Times New Roman" w:cs="Times New Roman"/>
          <w:sz w:val="28"/>
          <w:szCs w:val="28"/>
        </w:rPr>
        <w:t>ельство России определяет случаи</w:t>
      </w:r>
      <w:r w:rsidRPr="000160C5">
        <w:rPr>
          <w:rFonts w:ascii="Times New Roman" w:hAnsi="Times New Roman" w:cs="Times New Roman"/>
          <w:sz w:val="28"/>
          <w:szCs w:val="28"/>
        </w:rPr>
        <w:t xml:space="preserve"> обязательного раскрытия информации эмитентами, а затем предлагает на добровольной основе эмитентам, </w:t>
      </w:r>
      <w:r w:rsidR="00601389">
        <w:rPr>
          <w:rFonts w:ascii="Times New Roman" w:hAnsi="Times New Roman" w:cs="Times New Roman"/>
          <w:sz w:val="28"/>
          <w:szCs w:val="28"/>
        </w:rPr>
        <w:t>отвечающим</w:t>
      </w:r>
      <w:r w:rsidRPr="000160C5">
        <w:rPr>
          <w:rFonts w:ascii="Times New Roman" w:hAnsi="Times New Roman" w:cs="Times New Roman"/>
          <w:sz w:val="28"/>
          <w:szCs w:val="28"/>
        </w:rPr>
        <w:t xml:space="preserve"> формальны</w:t>
      </w:r>
      <w:r w:rsidR="00601389">
        <w:rPr>
          <w:rFonts w:ascii="Times New Roman" w:hAnsi="Times New Roman" w:cs="Times New Roman"/>
          <w:sz w:val="28"/>
          <w:szCs w:val="28"/>
        </w:rPr>
        <w:t>м</w:t>
      </w:r>
      <w:r w:rsidRPr="000160C5">
        <w:rPr>
          <w:rFonts w:ascii="Times New Roman" w:hAnsi="Times New Roman" w:cs="Times New Roman"/>
          <w:sz w:val="28"/>
          <w:szCs w:val="28"/>
        </w:rPr>
        <w:t xml:space="preserve"> критери</w:t>
      </w:r>
      <w:r w:rsidR="00601389">
        <w:rPr>
          <w:rFonts w:ascii="Times New Roman" w:hAnsi="Times New Roman" w:cs="Times New Roman"/>
          <w:sz w:val="28"/>
          <w:szCs w:val="28"/>
        </w:rPr>
        <w:t>ям</w:t>
      </w:r>
      <w:r w:rsidRPr="000160C5">
        <w:rPr>
          <w:rFonts w:ascii="Times New Roman" w:hAnsi="Times New Roman" w:cs="Times New Roman"/>
          <w:sz w:val="28"/>
          <w:szCs w:val="28"/>
        </w:rPr>
        <w:t xml:space="preserve">, подать заявление об освобождении от раскрытия. То есть действует принцип, что эмитент обязан раскрывать </w:t>
      </w:r>
      <w:r w:rsidR="00242065" w:rsidRPr="000160C5">
        <w:rPr>
          <w:rFonts w:ascii="Times New Roman" w:hAnsi="Times New Roman" w:cs="Times New Roman"/>
          <w:sz w:val="28"/>
          <w:szCs w:val="28"/>
        </w:rPr>
        <w:t xml:space="preserve">информацию </w:t>
      </w:r>
      <w:r w:rsidRPr="000160C5">
        <w:rPr>
          <w:rFonts w:ascii="Times New Roman" w:hAnsi="Times New Roman" w:cs="Times New Roman"/>
          <w:sz w:val="28"/>
          <w:szCs w:val="28"/>
        </w:rPr>
        <w:t xml:space="preserve">до тех пор, пока ФСФР не примет на основании его заявления положительного решения </w:t>
      </w:r>
      <w:r w:rsidRPr="000160C5">
        <w:rPr>
          <w:rFonts w:ascii="Times New Roman" w:hAnsi="Times New Roman" w:cs="Times New Roman"/>
          <w:sz w:val="28"/>
          <w:szCs w:val="28"/>
        </w:rPr>
        <w:lastRenderedPageBreak/>
        <w:t>о его освобождении от раскрытия информации</w:t>
      </w:r>
      <w:r w:rsidR="00242065" w:rsidRPr="000160C5">
        <w:rPr>
          <w:rFonts w:ascii="Times New Roman" w:hAnsi="Times New Roman" w:cs="Times New Roman"/>
          <w:sz w:val="28"/>
          <w:szCs w:val="28"/>
        </w:rPr>
        <w:t xml:space="preserve"> или обязанность раскрывать информацию не прекратится по иным основаниям (см. выше)</w:t>
      </w:r>
      <w:r w:rsidRPr="000160C5">
        <w:rPr>
          <w:rFonts w:ascii="Times New Roman" w:hAnsi="Times New Roman" w:cs="Times New Roman"/>
          <w:sz w:val="28"/>
          <w:szCs w:val="28"/>
        </w:rPr>
        <w:t>.</w:t>
      </w:r>
    </w:p>
    <w:p w:rsidR="00E3172E" w:rsidRPr="000160C5" w:rsidRDefault="009923E3" w:rsidP="0043082F">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 </w:t>
      </w:r>
      <w:r w:rsidR="005A30A6" w:rsidRPr="000160C5">
        <w:rPr>
          <w:rFonts w:ascii="Times New Roman" w:hAnsi="Times New Roman" w:cs="Times New Roman"/>
          <w:sz w:val="28"/>
          <w:szCs w:val="28"/>
        </w:rPr>
        <w:t xml:space="preserve">Законодательство </w:t>
      </w:r>
      <w:r w:rsidR="00F26CEE" w:rsidRPr="000160C5">
        <w:rPr>
          <w:rFonts w:ascii="Times New Roman" w:hAnsi="Times New Roman" w:cs="Times New Roman"/>
          <w:sz w:val="28"/>
          <w:szCs w:val="28"/>
        </w:rPr>
        <w:t xml:space="preserve">же </w:t>
      </w:r>
      <w:r w:rsidR="005A30A6" w:rsidRPr="000160C5">
        <w:rPr>
          <w:rFonts w:ascii="Times New Roman" w:hAnsi="Times New Roman" w:cs="Times New Roman"/>
          <w:sz w:val="28"/>
          <w:szCs w:val="28"/>
        </w:rPr>
        <w:t>США освобождает ряд ценных бумаг и ряд сделок по отчуждению ценных бумаг, которые не подпадают по требование регистрации в Комиссии США, а также определяет тех эмитентов, которые при соответствии формальным критериям (</w:t>
      </w:r>
      <w:r w:rsidR="00601389">
        <w:rPr>
          <w:rFonts w:ascii="Times New Roman" w:hAnsi="Times New Roman" w:cs="Times New Roman"/>
          <w:sz w:val="28"/>
          <w:szCs w:val="28"/>
        </w:rPr>
        <w:t xml:space="preserve">превышение определенной </w:t>
      </w:r>
      <w:r w:rsidR="005A30A6" w:rsidRPr="000160C5">
        <w:rPr>
          <w:rFonts w:ascii="Times New Roman" w:hAnsi="Times New Roman" w:cs="Times New Roman"/>
          <w:sz w:val="28"/>
          <w:szCs w:val="28"/>
        </w:rPr>
        <w:t>стоимост</w:t>
      </w:r>
      <w:r w:rsidR="00601389">
        <w:rPr>
          <w:rFonts w:ascii="Times New Roman" w:hAnsi="Times New Roman" w:cs="Times New Roman"/>
          <w:sz w:val="28"/>
          <w:szCs w:val="28"/>
        </w:rPr>
        <w:t>и</w:t>
      </w:r>
      <w:r w:rsidR="005A30A6" w:rsidRPr="000160C5">
        <w:rPr>
          <w:rFonts w:ascii="Times New Roman" w:hAnsi="Times New Roman" w:cs="Times New Roman"/>
          <w:sz w:val="28"/>
          <w:szCs w:val="28"/>
        </w:rPr>
        <w:t xml:space="preserve"> активов и количеств</w:t>
      </w:r>
      <w:r w:rsidR="00601389">
        <w:rPr>
          <w:rFonts w:ascii="Times New Roman" w:hAnsi="Times New Roman" w:cs="Times New Roman"/>
          <w:sz w:val="28"/>
          <w:szCs w:val="28"/>
        </w:rPr>
        <w:t>а</w:t>
      </w:r>
      <w:r w:rsidR="005A30A6" w:rsidRPr="000160C5">
        <w:rPr>
          <w:rFonts w:ascii="Times New Roman" w:hAnsi="Times New Roman" w:cs="Times New Roman"/>
          <w:sz w:val="28"/>
          <w:szCs w:val="28"/>
        </w:rPr>
        <w:t xml:space="preserve"> </w:t>
      </w:r>
      <w:r w:rsidR="00E3172E" w:rsidRPr="000160C5">
        <w:rPr>
          <w:rFonts w:ascii="Times New Roman" w:hAnsi="Times New Roman" w:cs="Times New Roman"/>
          <w:sz w:val="28"/>
          <w:szCs w:val="28"/>
        </w:rPr>
        <w:t>акционеров</w:t>
      </w:r>
      <w:r w:rsidR="005A30A6" w:rsidRPr="000160C5">
        <w:rPr>
          <w:rFonts w:ascii="Times New Roman" w:hAnsi="Times New Roman" w:cs="Times New Roman"/>
          <w:sz w:val="28"/>
          <w:szCs w:val="28"/>
        </w:rPr>
        <w:t>) обязаны</w:t>
      </w:r>
      <w:r w:rsidR="00E3172E" w:rsidRPr="000160C5">
        <w:rPr>
          <w:rFonts w:ascii="Times New Roman" w:hAnsi="Times New Roman" w:cs="Times New Roman"/>
          <w:sz w:val="28"/>
          <w:szCs w:val="28"/>
        </w:rPr>
        <w:t xml:space="preserve"> раскрывать информацию без возможности быть освобожденными.</w:t>
      </w:r>
    </w:p>
    <w:p w:rsidR="009923E3" w:rsidRPr="000160C5" w:rsidRDefault="00E3172E" w:rsidP="0043082F">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С точки зрения автора настоящей работы, подход законодательства США </w:t>
      </w:r>
      <w:proofErr w:type="gramStart"/>
      <w:r w:rsidRPr="000160C5">
        <w:rPr>
          <w:rFonts w:ascii="Times New Roman" w:hAnsi="Times New Roman" w:cs="Times New Roman"/>
          <w:sz w:val="28"/>
          <w:szCs w:val="28"/>
        </w:rPr>
        <w:t>более оптимальный</w:t>
      </w:r>
      <w:proofErr w:type="gramEnd"/>
      <w:r w:rsidRPr="000160C5">
        <w:rPr>
          <w:rFonts w:ascii="Times New Roman" w:hAnsi="Times New Roman" w:cs="Times New Roman"/>
          <w:sz w:val="28"/>
          <w:szCs w:val="28"/>
        </w:rPr>
        <w:t>, нежели российский, так как позволяет избежать дополнительных бюрократических процедур эмитентам, которые так или иначе не подпадают под требование о раскрытии</w:t>
      </w:r>
      <w:r w:rsidR="00601389">
        <w:rPr>
          <w:rFonts w:ascii="Times New Roman" w:hAnsi="Times New Roman" w:cs="Times New Roman"/>
          <w:sz w:val="28"/>
          <w:szCs w:val="28"/>
        </w:rPr>
        <w:t xml:space="preserve"> информации</w:t>
      </w:r>
      <w:r w:rsidRPr="000160C5">
        <w:rPr>
          <w:rFonts w:ascii="Times New Roman" w:hAnsi="Times New Roman" w:cs="Times New Roman"/>
          <w:sz w:val="28"/>
          <w:szCs w:val="28"/>
        </w:rPr>
        <w:t>.</w:t>
      </w:r>
      <w:r w:rsidR="00F26CEE" w:rsidRPr="000160C5">
        <w:rPr>
          <w:rFonts w:ascii="Times New Roman" w:hAnsi="Times New Roman" w:cs="Times New Roman"/>
          <w:sz w:val="28"/>
          <w:szCs w:val="28"/>
        </w:rPr>
        <w:t xml:space="preserve"> Кроме того, рассмотренный выше пример демонстрирует, что российский подход к формальному определению случаев освобождения эмитента от раскрытия информации</w:t>
      </w:r>
      <w:r w:rsidR="006E5047" w:rsidRPr="000160C5">
        <w:rPr>
          <w:rFonts w:ascii="Times New Roman" w:hAnsi="Times New Roman" w:cs="Times New Roman"/>
          <w:sz w:val="28"/>
          <w:szCs w:val="28"/>
        </w:rPr>
        <w:t>, позволяет недобросовестным лицам манипулировать предусмотренными нормами закона</w:t>
      </w:r>
      <w:r w:rsidR="003866CF" w:rsidRPr="000160C5">
        <w:rPr>
          <w:rFonts w:ascii="Times New Roman" w:hAnsi="Times New Roman" w:cs="Times New Roman"/>
          <w:sz w:val="28"/>
          <w:szCs w:val="28"/>
        </w:rPr>
        <w:t xml:space="preserve"> и лишать инвесторов </w:t>
      </w:r>
      <w:r w:rsidR="00DB7A13" w:rsidRPr="000160C5">
        <w:rPr>
          <w:rFonts w:ascii="Times New Roman" w:hAnsi="Times New Roman" w:cs="Times New Roman"/>
          <w:sz w:val="28"/>
          <w:szCs w:val="28"/>
        </w:rPr>
        <w:t xml:space="preserve">важной </w:t>
      </w:r>
      <w:r w:rsidR="003866CF" w:rsidRPr="000160C5">
        <w:rPr>
          <w:rFonts w:ascii="Times New Roman" w:hAnsi="Times New Roman" w:cs="Times New Roman"/>
          <w:sz w:val="28"/>
          <w:szCs w:val="28"/>
        </w:rPr>
        <w:t>информации</w:t>
      </w:r>
      <w:r w:rsidR="006E5047" w:rsidRPr="000160C5">
        <w:rPr>
          <w:rFonts w:ascii="Times New Roman" w:hAnsi="Times New Roman" w:cs="Times New Roman"/>
          <w:sz w:val="28"/>
          <w:szCs w:val="28"/>
        </w:rPr>
        <w:t>.</w:t>
      </w:r>
      <w:r w:rsidR="00F26CEE" w:rsidRPr="000160C5">
        <w:rPr>
          <w:rFonts w:ascii="Times New Roman" w:hAnsi="Times New Roman" w:cs="Times New Roman"/>
          <w:sz w:val="28"/>
          <w:szCs w:val="28"/>
        </w:rPr>
        <w:t xml:space="preserve"> </w:t>
      </w:r>
      <w:r w:rsidR="009923E3" w:rsidRPr="000160C5">
        <w:rPr>
          <w:rFonts w:ascii="Times New Roman" w:hAnsi="Times New Roman" w:cs="Times New Roman"/>
          <w:sz w:val="28"/>
          <w:szCs w:val="28"/>
        </w:rPr>
        <w:tab/>
      </w:r>
    </w:p>
    <w:p w:rsidR="009923E3" w:rsidRPr="000160C5" w:rsidRDefault="002D30BA" w:rsidP="003968F6">
      <w:pPr>
        <w:pStyle w:val="2"/>
        <w:rPr>
          <w:rFonts w:cs="Times New Roman"/>
          <w:szCs w:val="28"/>
        </w:rPr>
      </w:pPr>
      <w:bookmarkStart w:id="14" w:name="_Toc356162054"/>
      <w:r w:rsidRPr="000160C5">
        <w:rPr>
          <w:rFonts w:cs="Times New Roman"/>
          <w:szCs w:val="28"/>
        </w:rPr>
        <w:t>§4. Выводы</w:t>
      </w:r>
      <w:bookmarkEnd w:id="14"/>
    </w:p>
    <w:p w:rsidR="00DB7A13" w:rsidRPr="000160C5" w:rsidRDefault="00DB7A13" w:rsidP="00DB7A13">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В рамках второй главы настоящего исследования, посвященной объему раскрываемой информации, были рассмотрены следующие вопросы:</w:t>
      </w:r>
    </w:p>
    <w:p w:rsidR="00DB7A13" w:rsidRPr="000160C5" w:rsidRDefault="00DB7A13" w:rsidP="00DB7A13">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1) </w:t>
      </w:r>
      <w:r w:rsidRPr="000160C5">
        <w:rPr>
          <w:rFonts w:ascii="Times New Roman" w:hAnsi="Times New Roman" w:cs="Times New Roman"/>
          <w:i/>
          <w:sz w:val="28"/>
          <w:szCs w:val="28"/>
        </w:rPr>
        <w:t>Формы раскрытия информации</w:t>
      </w:r>
      <w:r w:rsidRPr="000160C5">
        <w:rPr>
          <w:rFonts w:ascii="Times New Roman" w:hAnsi="Times New Roman" w:cs="Times New Roman"/>
          <w:sz w:val="28"/>
          <w:szCs w:val="28"/>
        </w:rPr>
        <w:t xml:space="preserve">. </w:t>
      </w:r>
      <w:proofErr w:type="gramStart"/>
      <w:r w:rsidRPr="000160C5">
        <w:rPr>
          <w:rFonts w:ascii="Times New Roman" w:hAnsi="Times New Roman" w:cs="Times New Roman"/>
          <w:sz w:val="28"/>
          <w:szCs w:val="28"/>
        </w:rPr>
        <w:t>Все многообразие форм раскрытия информации можно условно поделить на две группы: периодическое (на годовой, ежеквартальной основе, а также по наступлении определенных событий) и непериодическое (на этапах эмиссии ценных бумаг, отдельные формы раскрытия, предусмотренные для профессиональных участников и иных субъектов рынка ценных бумаг) раскрытие.</w:t>
      </w:r>
      <w:proofErr w:type="gramEnd"/>
      <w:r w:rsidRPr="000160C5">
        <w:rPr>
          <w:rFonts w:ascii="Times New Roman" w:hAnsi="Times New Roman" w:cs="Times New Roman"/>
          <w:sz w:val="28"/>
          <w:szCs w:val="28"/>
        </w:rPr>
        <w:t xml:space="preserve"> На основе детального сравнительного анализа требований российского и американского законодательства к содержанию раскрываемой информации в рамках периодического раскрытия были сделаны выводы о том, что американские формы не являются столь массивными, как российские, и в то же время </w:t>
      </w:r>
      <w:r w:rsidRPr="000160C5">
        <w:rPr>
          <w:rFonts w:ascii="Times New Roman" w:hAnsi="Times New Roman" w:cs="Times New Roman"/>
          <w:sz w:val="28"/>
          <w:szCs w:val="28"/>
        </w:rPr>
        <w:lastRenderedPageBreak/>
        <w:t xml:space="preserve">являются более содержательными с точки зрения глубины раскрываемой информации.  </w:t>
      </w:r>
      <w:r w:rsidRPr="000160C5">
        <w:rPr>
          <w:rFonts w:ascii="Times New Roman" w:hAnsi="Times New Roman" w:cs="Times New Roman"/>
          <w:sz w:val="28"/>
          <w:szCs w:val="28"/>
        </w:rPr>
        <w:tab/>
      </w:r>
    </w:p>
    <w:p w:rsidR="00DB7A13" w:rsidRPr="000160C5" w:rsidRDefault="00DB7A13" w:rsidP="00DB7A13">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2) </w:t>
      </w:r>
      <w:r w:rsidRPr="000160C5">
        <w:rPr>
          <w:rFonts w:ascii="Times New Roman" w:hAnsi="Times New Roman" w:cs="Times New Roman"/>
          <w:i/>
          <w:sz w:val="28"/>
          <w:szCs w:val="28"/>
        </w:rPr>
        <w:t>Способы раскрытия информации</w:t>
      </w:r>
      <w:r w:rsidRPr="000160C5">
        <w:rPr>
          <w:rFonts w:ascii="Times New Roman" w:hAnsi="Times New Roman" w:cs="Times New Roman"/>
          <w:sz w:val="28"/>
          <w:szCs w:val="28"/>
        </w:rPr>
        <w:t>. Ввиду того, что система раскрытия информации должна максимально отвечать требованиям доступности информации широкому кругу лиц, в современных условиях это стало возможно благодаря сети Интернет. В связи с этим и в США, и в России раскрытие информации осуществляется через соответствующие ресурсы в сети для целей предоставления инвесторам доступа к информации. Однако если в России уполномоченные агентства, отвечающие за раскрытие информации с точки зрения предоставления ресурса и технической поддержки, являются коммерческими структурами, то в США подобную роль выполняет подразделение государственной структуры – Комиссии США.</w:t>
      </w:r>
    </w:p>
    <w:p w:rsidR="00DB7A13" w:rsidRPr="000160C5" w:rsidRDefault="00DB7A13" w:rsidP="00DB7A13">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3) </w:t>
      </w:r>
      <w:r w:rsidRPr="000160C5">
        <w:rPr>
          <w:rFonts w:ascii="Times New Roman" w:hAnsi="Times New Roman" w:cs="Times New Roman"/>
          <w:i/>
          <w:sz w:val="28"/>
          <w:szCs w:val="28"/>
        </w:rPr>
        <w:t>Освобождение от раскрытия информации</w:t>
      </w:r>
      <w:r w:rsidRPr="000160C5">
        <w:rPr>
          <w:rFonts w:ascii="Times New Roman" w:hAnsi="Times New Roman" w:cs="Times New Roman"/>
          <w:sz w:val="28"/>
          <w:szCs w:val="28"/>
        </w:rPr>
        <w:t xml:space="preserve">. Российское и американское законодательство содержат формальный подход к определению необходимости у эмитента раскрывать информацию. </w:t>
      </w:r>
      <w:proofErr w:type="gramStart"/>
      <w:r w:rsidRPr="000160C5">
        <w:rPr>
          <w:rFonts w:ascii="Times New Roman" w:hAnsi="Times New Roman" w:cs="Times New Roman"/>
          <w:sz w:val="28"/>
          <w:szCs w:val="28"/>
        </w:rPr>
        <w:t xml:space="preserve">Если российский законодатель устанавливает случаи обязательного раскрытия информации, а затем предлагает эмитентам, отвечающим формальным критериям, подать заявление об освобождении от раскрытия информации, то американский законодатель определяет изначально, какие эмитенты должны раскрывать информацию всегда, а какие – при выпуске определенных видов ценных бумаг и совершении определенных сделок – могут быть освобождены (т.н. </w:t>
      </w:r>
      <w:proofErr w:type="spellStart"/>
      <w:r w:rsidRPr="000160C5">
        <w:rPr>
          <w:rFonts w:ascii="Times New Roman" w:hAnsi="Times New Roman" w:cs="Times New Roman"/>
          <w:sz w:val="28"/>
          <w:szCs w:val="28"/>
        </w:rPr>
        <w:t>exempt</w:t>
      </w:r>
      <w:proofErr w:type="spellEnd"/>
      <w:r w:rsidRPr="000160C5">
        <w:rPr>
          <w:rFonts w:ascii="Times New Roman" w:hAnsi="Times New Roman" w:cs="Times New Roman"/>
          <w:sz w:val="28"/>
          <w:szCs w:val="28"/>
        </w:rPr>
        <w:t xml:space="preserve"> </w:t>
      </w:r>
      <w:proofErr w:type="spellStart"/>
      <w:r w:rsidRPr="000160C5">
        <w:rPr>
          <w:rFonts w:ascii="Times New Roman" w:hAnsi="Times New Roman" w:cs="Times New Roman"/>
          <w:sz w:val="28"/>
          <w:szCs w:val="28"/>
        </w:rPr>
        <w:t>securities</w:t>
      </w:r>
      <w:proofErr w:type="spellEnd"/>
      <w:r w:rsidRPr="000160C5">
        <w:rPr>
          <w:rFonts w:ascii="Times New Roman" w:hAnsi="Times New Roman" w:cs="Times New Roman"/>
          <w:sz w:val="28"/>
          <w:szCs w:val="28"/>
        </w:rPr>
        <w:t xml:space="preserve"> </w:t>
      </w:r>
      <w:proofErr w:type="spellStart"/>
      <w:r w:rsidRPr="000160C5">
        <w:rPr>
          <w:rFonts w:ascii="Times New Roman" w:hAnsi="Times New Roman" w:cs="Times New Roman"/>
          <w:sz w:val="28"/>
          <w:szCs w:val="28"/>
        </w:rPr>
        <w:t>and</w:t>
      </w:r>
      <w:proofErr w:type="spellEnd"/>
      <w:r w:rsidRPr="000160C5">
        <w:rPr>
          <w:rFonts w:ascii="Times New Roman" w:hAnsi="Times New Roman" w:cs="Times New Roman"/>
          <w:sz w:val="28"/>
          <w:szCs w:val="28"/>
        </w:rPr>
        <w:t xml:space="preserve"> </w:t>
      </w:r>
      <w:proofErr w:type="spellStart"/>
      <w:r w:rsidRPr="000160C5">
        <w:rPr>
          <w:rFonts w:ascii="Times New Roman" w:hAnsi="Times New Roman" w:cs="Times New Roman"/>
          <w:sz w:val="28"/>
          <w:szCs w:val="28"/>
        </w:rPr>
        <w:t>transaction</w:t>
      </w:r>
      <w:proofErr w:type="spellEnd"/>
      <w:r w:rsidRPr="000160C5">
        <w:rPr>
          <w:rFonts w:ascii="Times New Roman" w:hAnsi="Times New Roman" w:cs="Times New Roman"/>
          <w:sz w:val="28"/>
          <w:szCs w:val="28"/>
        </w:rPr>
        <w:t xml:space="preserve"> </w:t>
      </w:r>
      <w:proofErr w:type="spellStart"/>
      <w:r w:rsidRPr="000160C5">
        <w:rPr>
          <w:rFonts w:ascii="Times New Roman" w:hAnsi="Times New Roman" w:cs="Times New Roman"/>
          <w:sz w:val="28"/>
          <w:szCs w:val="28"/>
        </w:rPr>
        <w:t>exemptions</w:t>
      </w:r>
      <w:proofErr w:type="spellEnd"/>
      <w:r w:rsidRPr="000160C5">
        <w:rPr>
          <w:rFonts w:ascii="Times New Roman" w:hAnsi="Times New Roman" w:cs="Times New Roman"/>
          <w:sz w:val="28"/>
          <w:szCs w:val="28"/>
        </w:rPr>
        <w:t>).</w:t>
      </w:r>
      <w:proofErr w:type="gramEnd"/>
      <w:r w:rsidRPr="000160C5">
        <w:rPr>
          <w:rFonts w:ascii="Times New Roman" w:hAnsi="Times New Roman" w:cs="Times New Roman"/>
          <w:sz w:val="28"/>
          <w:szCs w:val="28"/>
        </w:rPr>
        <w:t xml:space="preserve"> Подход российского законодательства настолько формален, что позволяет недобросовестным лицам лишить инвесторов значимой информации, не нарушая</w:t>
      </w:r>
      <w:r w:rsidR="00571D76">
        <w:rPr>
          <w:rFonts w:ascii="Times New Roman" w:hAnsi="Times New Roman" w:cs="Times New Roman"/>
          <w:sz w:val="28"/>
          <w:szCs w:val="28"/>
        </w:rPr>
        <w:t xml:space="preserve"> при этом</w:t>
      </w:r>
      <w:r w:rsidRPr="000160C5">
        <w:rPr>
          <w:rFonts w:ascii="Times New Roman" w:hAnsi="Times New Roman" w:cs="Times New Roman"/>
          <w:sz w:val="28"/>
          <w:szCs w:val="28"/>
        </w:rPr>
        <w:t xml:space="preserve"> норм законодательства.       </w:t>
      </w:r>
    </w:p>
    <w:p w:rsidR="0043082F" w:rsidRPr="000160C5" w:rsidRDefault="00DB7A13" w:rsidP="00DB7A13">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Общим итогом второй главы является существенное различие в требованиях к глубине содержания раскрываемой информации в России и США при поверхностном сходстве в периодичности, формах и порядку раскрытия информации.  </w:t>
      </w:r>
      <w:r w:rsidR="0043082F" w:rsidRPr="000160C5">
        <w:rPr>
          <w:rFonts w:ascii="Times New Roman" w:hAnsi="Times New Roman" w:cs="Times New Roman"/>
          <w:sz w:val="28"/>
          <w:szCs w:val="28"/>
        </w:rPr>
        <w:tab/>
      </w:r>
    </w:p>
    <w:p w:rsidR="002072FB" w:rsidRPr="000160C5" w:rsidRDefault="00E167FE" w:rsidP="00CD001A">
      <w:pPr>
        <w:rPr>
          <w:rFonts w:ascii="Times New Roman" w:hAnsi="Times New Roman" w:cs="Times New Roman"/>
          <w:sz w:val="28"/>
          <w:szCs w:val="28"/>
        </w:rPr>
      </w:pPr>
      <w:r w:rsidRPr="000160C5">
        <w:rPr>
          <w:rFonts w:ascii="Times New Roman" w:hAnsi="Times New Roman" w:cs="Times New Roman"/>
          <w:sz w:val="28"/>
          <w:szCs w:val="28"/>
        </w:rPr>
        <w:lastRenderedPageBreak/>
        <w:tab/>
      </w:r>
    </w:p>
    <w:p w:rsidR="00CD001A" w:rsidRPr="000160C5" w:rsidRDefault="00CD001A">
      <w:pPr>
        <w:rPr>
          <w:rFonts w:ascii="Times New Roman" w:hAnsi="Times New Roman" w:cs="Times New Roman"/>
          <w:sz w:val="28"/>
          <w:szCs w:val="28"/>
        </w:rPr>
      </w:pPr>
      <w:r w:rsidRPr="000160C5">
        <w:rPr>
          <w:rFonts w:ascii="Times New Roman" w:hAnsi="Times New Roman" w:cs="Times New Roman"/>
          <w:sz w:val="28"/>
          <w:szCs w:val="28"/>
        </w:rPr>
        <w:br w:type="page"/>
      </w:r>
    </w:p>
    <w:p w:rsidR="00CD001A" w:rsidRPr="000160C5" w:rsidRDefault="00D24B47" w:rsidP="00D24B47">
      <w:pPr>
        <w:pStyle w:val="1"/>
        <w:rPr>
          <w:rFonts w:cs="Times New Roman"/>
        </w:rPr>
      </w:pPr>
      <w:bookmarkStart w:id="15" w:name="_Toc356162055"/>
      <w:r w:rsidRPr="000160C5">
        <w:rPr>
          <w:rFonts w:cs="Times New Roman"/>
        </w:rPr>
        <w:lastRenderedPageBreak/>
        <w:t>Глава III.</w:t>
      </w:r>
      <w:r w:rsidRPr="000160C5">
        <w:rPr>
          <w:rFonts w:cs="Times New Roman"/>
        </w:rPr>
        <w:tab/>
        <w:t>Правовые последствия нарушения требований по раскрытию информации эмитентами на рынке ценных бумаг</w:t>
      </w:r>
      <w:bookmarkEnd w:id="15"/>
    </w:p>
    <w:p w:rsidR="00E70E02" w:rsidRPr="000160C5" w:rsidRDefault="00600D50" w:rsidP="00600D50">
      <w:pPr>
        <w:pStyle w:val="TNR14"/>
        <w:rPr>
          <w:rFonts w:cs="Times New Roman"/>
          <w:szCs w:val="28"/>
          <w:lang w:val="ru-RU"/>
        </w:rPr>
      </w:pPr>
      <w:r w:rsidRPr="000160C5">
        <w:rPr>
          <w:rFonts w:cs="Times New Roman"/>
          <w:szCs w:val="28"/>
          <w:lang w:val="ru-RU"/>
        </w:rPr>
        <w:t xml:space="preserve">Вопреки нормативным требованиям о раскрытии информации эмитенты не всегда исполняют указанную обязанность надлежащим образом. В связи с этим нарушается право инвестора на регулярное и своевременное получение полной и достоверной информации об объекте инвестиций. </w:t>
      </w:r>
      <w:r w:rsidR="00E70E02" w:rsidRPr="000160C5">
        <w:rPr>
          <w:rFonts w:cs="Times New Roman"/>
          <w:szCs w:val="28"/>
          <w:lang w:val="ru-RU"/>
        </w:rPr>
        <w:t xml:space="preserve">Законодательством должны быть предусмотрены </w:t>
      </w:r>
      <w:r w:rsidR="00212363" w:rsidRPr="000160C5">
        <w:rPr>
          <w:rFonts w:cs="Times New Roman"/>
          <w:szCs w:val="28"/>
          <w:lang w:val="ru-RU"/>
        </w:rPr>
        <w:t xml:space="preserve">эффективные </w:t>
      </w:r>
      <w:r w:rsidR="00E70E02" w:rsidRPr="000160C5">
        <w:rPr>
          <w:rFonts w:cs="Times New Roman"/>
          <w:szCs w:val="28"/>
          <w:lang w:val="ru-RU"/>
        </w:rPr>
        <w:t>механизмы, обеспечивающие исполнение нормативно установленных обязанностей эмитента по раскрытию информации.</w:t>
      </w:r>
    </w:p>
    <w:p w:rsidR="004B3E13" w:rsidRPr="000160C5" w:rsidRDefault="00E70E02" w:rsidP="00600D50">
      <w:pPr>
        <w:pStyle w:val="TNR14"/>
        <w:rPr>
          <w:rFonts w:cs="Times New Roman"/>
          <w:szCs w:val="28"/>
          <w:lang w:val="ru-RU"/>
        </w:rPr>
      </w:pPr>
      <w:r w:rsidRPr="000160C5">
        <w:rPr>
          <w:rFonts w:cs="Times New Roman"/>
          <w:szCs w:val="28"/>
          <w:lang w:val="ru-RU"/>
        </w:rPr>
        <w:t>Такими механизмами могут выступать некие неблагоприятные последствия для эмитента в случае нарушения установленной для него обязанности</w:t>
      </w:r>
      <w:r w:rsidR="0077228F" w:rsidRPr="000160C5">
        <w:rPr>
          <w:rFonts w:cs="Times New Roman"/>
          <w:szCs w:val="28"/>
          <w:lang w:val="ru-RU"/>
        </w:rPr>
        <w:t xml:space="preserve"> раскрывать информацию</w:t>
      </w:r>
      <w:r w:rsidR="004B3E13" w:rsidRPr="000160C5">
        <w:rPr>
          <w:rFonts w:cs="Times New Roman"/>
          <w:szCs w:val="28"/>
          <w:lang w:val="ru-RU"/>
        </w:rPr>
        <w:t>. В частности, если нераскрытие информации или же ее раскрытие с нарушением происходит на этапе эмиссии ценных бумаг, ФСФР вправе приостановить процедуру эмиссии</w:t>
      </w:r>
      <w:r w:rsidR="005551B1" w:rsidRPr="000160C5">
        <w:rPr>
          <w:rFonts w:cs="Times New Roman"/>
          <w:szCs w:val="28"/>
          <w:lang w:val="ru-RU"/>
        </w:rPr>
        <w:t xml:space="preserve"> (но не отказать</w:t>
      </w:r>
      <w:r w:rsidR="005551B1" w:rsidRPr="000160C5">
        <w:rPr>
          <w:rStyle w:val="a9"/>
          <w:rFonts w:cs="Times New Roman"/>
          <w:szCs w:val="28"/>
          <w:lang w:val="ru-RU"/>
        </w:rPr>
        <w:footnoteReference w:id="50"/>
      </w:r>
      <w:r w:rsidR="005551B1" w:rsidRPr="000160C5">
        <w:rPr>
          <w:rFonts w:cs="Times New Roman"/>
          <w:szCs w:val="28"/>
          <w:lang w:val="ru-RU"/>
        </w:rPr>
        <w:t>)</w:t>
      </w:r>
      <w:r w:rsidR="004B3E13" w:rsidRPr="000160C5">
        <w:rPr>
          <w:rFonts w:cs="Times New Roman"/>
          <w:szCs w:val="28"/>
          <w:lang w:val="ru-RU"/>
        </w:rPr>
        <w:t xml:space="preserve"> и назначить проверку. При обнаружении серьезных нарушений, которые повлекли за собой убытки, ущерб со стороны инвестор</w:t>
      </w:r>
      <w:r w:rsidR="00481961">
        <w:rPr>
          <w:rFonts w:cs="Times New Roman"/>
          <w:szCs w:val="28"/>
          <w:lang w:val="ru-RU"/>
        </w:rPr>
        <w:t>ов, а также нарушение их прав, К</w:t>
      </w:r>
      <w:r w:rsidR="004B3E13" w:rsidRPr="000160C5">
        <w:rPr>
          <w:rFonts w:cs="Times New Roman"/>
          <w:szCs w:val="28"/>
          <w:lang w:val="ru-RU"/>
        </w:rPr>
        <w:t>омиссия</w:t>
      </w:r>
      <w:r w:rsidR="00481961">
        <w:rPr>
          <w:rFonts w:cs="Times New Roman"/>
          <w:szCs w:val="28"/>
          <w:lang w:val="ru-RU"/>
        </w:rPr>
        <w:t xml:space="preserve"> США</w:t>
      </w:r>
      <w:r w:rsidR="004B3E13" w:rsidRPr="000160C5">
        <w:rPr>
          <w:rFonts w:cs="Times New Roman"/>
          <w:szCs w:val="28"/>
          <w:lang w:val="ru-RU"/>
        </w:rPr>
        <w:t xml:space="preserve"> может признать выпуск несостоявшимся и аннулировать эмиссию. Во всех других случаях </w:t>
      </w:r>
      <w:r w:rsidR="00895CD6" w:rsidRPr="000160C5">
        <w:rPr>
          <w:rFonts w:cs="Times New Roman"/>
          <w:szCs w:val="28"/>
          <w:lang w:val="ru-RU"/>
        </w:rPr>
        <w:t xml:space="preserve">законодательством </w:t>
      </w:r>
      <w:r w:rsidR="004B3E13" w:rsidRPr="000160C5">
        <w:rPr>
          <w:rFonts w:cs="Times New Roman"/>
          <w:szCs w:val="28"/>
          <w:lang w:val="ru-RU"/>
        </w:rPr>
        <w:t>предусмотрена ответственность</w:t>
      </w:r>
      <w:r w:rsidR="00212363" w:rsidRPr="000160C5">
        <w:rPr>
          <w:rFonts w:cs="Times New Roman"/>
          <w:szCs w:val="28"/>
          <w:lang w:val="ru-RU"/>
        </w:rPr>
        <w:t xml:space="preserve"> эмитента</w:t>
      </w:r>
      <w:r w:rsidR="004B3E13" w:rsidRPr="000160C5">
        <w:rPr>
          <w:rFonts w:cs="Times New Roman"/>
          <w:szCs w:val="28"/>
          <w:lang w:val="ru-RU"/>
        </w:rPr>
        <w:t>.</w:t>
      </w:r>
    </w:p>
    <w:p w:rsidR="00600D50" w:rsidRPr="000160C5" w:rsidRDefault="0077228F" w:rsidP="00600D50">
      <w:pPr>
        <w:pStyle w:val="TNR14"/>
        <w:rPr>
          <w:rFonts w:cs="Times New Roman"/>
          <w:szCs w:val="28"/>
          <w:lang w:val="ru-RU"/>
        </w:rPr>
      </w:pPr>
      <w:proofErr w:type="gramStart"/>
      <w:r w:rsidRPr="000160C5">
        <w:rPr>
          <w:rFonts w:cs="Times New Roman"/>
          <w:szCs w:val="28"/>
          <w:lang w:val="ru-RU"/>
        </w:rPr>
        <w:t>Исходя из природы правоотношений между эмитентом и инвестором можно сделать</w:t>
      </w:r>
      <w:proofErr w:type="gramEnd"/>
      <w:r w:rsidRPr="000160C5">
        <w:rPr>
          <w:rFonts w:cs="Times New Roman"/>
          <w:szCs w:val="28"/>
          <w:lang w:val="ru-RU"/>
        </w:rPr>
        <w:t xml:space="preserve"> вывод, что обязанность по раскрытию информации носит публичный характер, следовательно, и ответственность за нарушение обязанности должна быть публичная.</w:t>
      </w:r>
    </w:p>
    <w:p w:rsidR="0077228F" w:rsidRPr="000160C5" w:rsidRDefault="0077228F" w:rsidP="00600D50">
      <w:pPr>
        <w:pStyle w:val="TNR14"/>
        <w:rPr>
          <w:rFonts w:cs="Times New Roman"/>
          <w:szCs w:val="28"/>
          <w:lang w:val="ru-RU"/>
        </w:rPr>
      </w:pPr>
      <w:r w:rsidRPr="000160C5">
        <w:rPr>
          <w:rFonts w:cs="Times New Roman"/>
          <w:szCs w:val="28"/>
          <w:lang w:val="ru-RU"/>
        </w:rPr>
        <w:t xml:space="preserve">Однако помимо публичной ответственности нормативно предусмотрено и привлечение к ответственности в частном порядке. </w:t>
      </w:r>
    </w:p>
    <w:p w:rsidR="0077228F" w:rsidRPr="000160C5" w:rsidRDefault="0077228F" w:rsidP="00600D50">
      <w:pPr>
        <w:pStyle w:val="TNR14"/>
        <w:rPr>
          <w:rFonts w:cs="Times New Roman"/>
          <w:szCs w:val="28"/>
          <w:lang w:val="ru-RU"/>
        </w:rPr>
      </w:pPr>
      <w:r w:rsidRPr="000160C5">
        <w:rPr>
          <w:rFonts w:cs="Times New Roman"/>
          <w:szCs w:val="28"/>
          <w:lang w:val="ru-RU"/>
        </w:rPr>
        <w:lastRenderedPageBreak/>
        <w:t xml:space="preserve">Ниже будут рассмотрены </w:t>
      </w:r>
      <w:r w:rsidR="000063C6" w:rsidRPr="000160C5">
        <w:rPr>
          <w:rFonts w:cs="Times New Roman"/>
          <w:szCs w:val="28"/>
          <w:lang w:val="ru-RU"/>
        </w:rPr>
        <w:t>административная, уголовная и гражданская</w:t>
      </w:r>
      <w:r w:rsidRPr="000160C5">
        <w:rPr>
          <w:rFonts w:cs="Times New Roman"/>
          <w:szCs w:val="28"/>
          <w:lang w:val="ru-RU"/>
        </w:rPr>
        <w:t xml:space="preserve"> ответственность эмитента за нарушение</w:t>
      </w:r>
      <w:r w:rsidR="00481961">
        <w:rPr>
          <w:rFonts w:cs="Times New Roman"/>
          <w:szCs w:val="28"/>
          <w:lang w:val="ru-RU"/>
        </w:rPr>
        <w:t xml:space="preserve"> его</w:t>
      </w:r>
      <w:r w:rsidRPr="000160C5">
        <w:rPr>
          <w:rFonts w:cs="Times New Roman"/>
          <w:szCs w:val="28"/>
          <w:lang w:val="ru-RU"/>
        </w:rPr>
        <w:t xml:space="preserve"> обязанности по раскрытию информации</w:t>
      </w:r>
      <w:r w:rsidR="000063C6" w:rsidRPr="000160C5">
        <w:rPr>
          <w:rFonts w:cs="Times New Roman"/>
          <w:szCs w:val="28"/>
          <w:lang w:val="ru-RU"/>
        </w:rPr>
        <w:t xml:space="preserve"> в России и США</w:t>
      </w:r>
      <w:r w:rsidRPr="000160C5">
        <w:rPr>
          <w:rFonts w:cs="Times New Roman"/>
          <w:szCs w:val="28"/>
          <w:lang w:val="ru-RU"/>
        </w:rPr>
        <w:t>.</w:t>
      </w:r>
    </w:p>
    <w:p w:rsidR="00D24B47" w:rsidRPr="000160C5" w:rsidRDefault="00D24B47" w:rsidP="003D694B">
      <w:pPr>
        <w:pStyle w:val="2"/>
        <w:rPr>
          <w:rFonts w:cs="Times New Roman"/>
          <w:szCs w:val="28"/>
        </w:rPr>
      </w:pPr>
      <w:bookmarkStart w:id="16" w:name="_Toc356162056"/>
      <w:r w:rsidRPr="000160C5">
        <w:rPr>
          <w:rFonts w:cs="Times New Roman"/>
          <w:szCs w:val="28"/>
        </w:rPr>
        <w:t xml:space="preserve">§1. </w:t>
      </w:r>
      <w:r w:rsidR="00012A30" w:rsidRPr="000160C5">
        <w:rPr>
          <w:rFonts w:cs="Times New Roman"/>
          <w:szCs w:val="28"/>
        </w:rPr>
        <w:t xml:space="preserve">Административная </w:t>
      </w:r>
      <w:r w:rsidRPr="000160C5">
        <w:rPr>
          <w:rFonts w:cs="Times New Roman"/>
          <w:szCs w:val="28"/>
        </w:rPr>
        <w:t>ответственность за нарушение требований по раскрытию информации</w:t>
      </w:r>
      <w:bookmarkEnd w:id="16"/>
    </w:p>
    <w:p w:rsidR="00F5387D" w:rsidRPr="000160C5" w:rsidRDefault="00F5387D" w:rsidP="003D694B">
      <w:pPr>
        <w:pStyle w:val="3"/>
        <w:rPr>
          <w:rFonts w:cs="Times New Roman"/>
          <w:szCs w:val="28"/>
        </w:rPr>
      </w:pPr>
      <w:bookmarkStart w:id="17" w:name="_Toc356162057"/>
      <w:r w:rsidRPr="000160C5">
        <w:rPr>
          <w:rFonts w:cs="Times New Roman"/>
          <w:szCs w:val="28"/>
        </w:rPr>
        <w:t>§§1.1 Административное правонарушение:  понятие и состав</w:t>
      </w:r>
      <w:bookmarkEnd w:id="17"/>
    </w:p>
    <w:p w:rsidR="00FB6355" w:rsidRPr="000160C5" w:rsidRDefault="00FB6355" w:rsidP="00012A30">
      <w:pPr>
        <w:pStyle w:val="TNR14"/>
        <w:rPr>
          <w:rFonts w:cs="Times New Roman"/>
          <w:szCs w:val="28"/>
          <w:lang w:val="ru-RU"/>
        </w:rPr>
      </w:pPr>
      <w:r w:rsidRPr="000160C5">
        <w:rPr>
          <w:rFonts w:cs="Times New Roman"/>
          <w:szCs w:val="28"/>
          <w:lang w:val="ru-RU"/>
        </w:rPr>
        <w:t xml:space="preserve">Административная ответственность по российскому законодательству предусмотрена за совершение административного правонарушения при отсутствии обстоятельств, исключающих производство по делу об административном правонарушении, </w:t>
      </w:r>
      <w:r w:rsidR="00481961">
        <w:rPr>
          <w:rFonts w:cs="Times New Roman"/>
          <w:szCs w:val="28"/>
          <w:lang w:val="ru-RU"/>
        </w:rPr>
        <w:t>установленных</w:t>
      </w:r>
      <w:r w:rsidRPr="000160C5">
        <w:rPr>
          <w:rFonts w:cs="Times New Roman"/>
          <w:szCs w:val="28"/>
          <w:lang w:val="ru-RU"/>
        </w:rPr>
        <w:t xml:space="preserve"> статьей 24.5 КоАП. </w:t>
      </w:r>
    </w:p>
    <w:p w:rsidR="00FB6355" w:rsidRPr="000160C5" w:rsidRDefault="00FB6355" w:rsidP="00012A30">
      <w:pPr>
        <w:pStyle w:val="TNR14"/>
        <w:rPr>
          <w:rFonts w:cs="Times New Roman"/>
          <w:szCs w:val="28"/>
          <w:lang w:val="ru-RU"/>
        </w:rPr>
      </w:pPr>
      <w:r w:rsidRPr="000160C5">
        <w:rPr>
          <w:rFonts w:cs="Times New Roman"/>
          <w:szCs w:val="28"/>
          <w:lang w:val="ru-RU"/>
        </w:rPr>
        <w:t xml:space="preserve">Согласно КоАП, административным правонарушением признается противоправное, виновное действие (бездействие) физического или юридического лица, за которое </w:t>
      </w:r>
      <w:r w:rsidR="00335CBB" w:rsidRPr="000160C5">
        <w:rPr>
          <w:rFonts w:cs="Times New Roman"/>
          <w:szCs w:val="28"/>
          <w:lang w:val="ru-RU"/>
        </w:rPr>
        <w:t>законодательством</w:t>
      </w:r>
      <w:r w:rsidRPr="000160C5">
        <w:rPr>
          <w:rFonts w:cs="Times New Roman"/>
          <w:szCs w:val="28"/>
          <w:lang w:val="ru-RU"/>
        </w:rPr>
        <w:t xml:space="preserve"> Российской Федерации об административных правонарушениях установлена административная ответственность.</w:t>
      </w:r>
    </w:p>
    <w:p w:rsidR="00335CBB" w:rsidRPr="000160C5" w:rsidRDefault="00335CBB" w:rsidP="00012A30">
      <w:pPr>
        <w:pStyle w:val="TNR14"/>
        <w:rPr>
          <w:rFonts w:cs="Times New Roman"/>
          <w:szCs w:val="28"/>
          <w:lang w:val="ru-RU"/>
        </w:rPr>
      </w:pPr>
      <w:r w:rsidRPr="000160C5">
        <w:rPr>
          <w:rFonts w:cs="Times New Roman"/>
          <w:szCs w:val="28"/>
          <w:lang w:val="ru-RU"/>
        </w:rPr>
        <w:t>Отличие административного правонарушения от преступления заключается, по мнению одних авторов, в степени общественной опасности деяния, то есть в количественной характеристике, по мнению других – в наличии</w:t>
      </w:r>
      <w:r w:rsidR="00A006A9" w:rsidRPr="000160C5">
        <w:rPr>
          <w:rFonts w:cs="Times New Roman"/>
          <w:szCs w:val="28"/>
          <w:lang w:val="ru-RU"/>
        </w:rPr>
        <w:t>/отсутствии</w:t>
      </w:r>
      <w:r w:rsidRPr="000160C5">
        <w:rPr>
          <w:rFonts w:cs="Times New Roman"/>
          <w:szCs w:val="28"/>
          <w:lang w:val="ru-RU"/>
        </w:rPr>
        <w:t xml:space="preserve"> этой общественной опасности деяния, то есть в качественной характеристике</w:t>
      </w:r>
      <w:r w:rsidRPr="000160C5">
        <w:rPr>
          <w:rStyle w:val="a9"/>
          <w:rFonts w:cs="Times New Roman"/>
          <w:szCs w:val="28"/>
          <w:lang w:val="ru-RU"/>
        </w:rPr>
        <w:footnoteReference w:id="51"/>
      </w:r>
      <w:r w:rsidRPr="000160C5">
        <w:rPr>
          <w:rFonts w:cs="Times New Roman"/>
          <w:szCs w:val="28"/>
          <w:lang w:val="ru-RU"/>
        </w:rPr>
        <w:t xml:space="preserve">. </w:t>
      </w:r>
    </w:p>
    <w:p w:rsidR="00335CBB" w:rsidRPr="000160C5" w:rsidRDefault="00335CBB" w:rsidP="00012A30">
      <w:pPr>
        <w:pStyle w:val="TNR14"/>
        <w:rPr>
          <w:rFonts w:cs="Times New Roman"/>
          <w:szCs w:val="28"/>
          <w:lang w:val="ru-RU"/>
        </w:rPr>
      </w:pPr>
      <w:r w:rsidRPr="000160C5">
        <w:rPr>
          <w:rFonts w:cs="Times New Roman"/>
          <w:szCs w:val="28"/>
          <w:lang w:val="ru-RU"/>
        </w:rPr>
        <w:t xml:space="preserve">Согласно </w:t>
      </w:r>
      <w:proofErr w:type="spellStart"/>
      <w:r w:rsidRPr="000160C5">
        <w:rPr>
          <w:rFonts w:cs="Times New Roman"/>
          <w:szCs w:val="28"/>
          <w:lang w:val="ru-RU"/>
        </w:rPr>
        <w:t>Д.Н.Бахраху</w:t>
      </w:r>
      <w:proofErr w:type="spellEnd"/>
      <w:r w:rsidRPr="000160C5">
        <w:rPr>
          <w:rFonts w:cs="Times New Roman"/>
          <w:szCs w:val="28"/>
          <w:lang w:val="ru-RU"/>
        </w:rPr>
        <w:t xml:space="preserve">, для привлечения к административной ответственности необходима совокупность следующих условий: нормативное закрепление ответственности, фактическое основание, то есть совершение правонарушения (наличие состава административного правонарушения), а также процессуальное основание, то есть ненормативный акт уполномоченного субъекта власти о применении санкций правовых норм к конкретным субъектам. </w:t>
      </w:r>
    </w:p>
    <w:p w:rsidR="00335CBB" w:rsidRPr="000160C5" w:rsidRDefault="00335CBB" w:rsidP="00844D62">
      <w:pPr>
        <w:pStyle w:val="TNR14"/>
        <w:rPr>
          <w:rFonts w:cs="Times New Roman"/>
          <w:szCs w:val="28"/>
          <w:lang w:val="ru-RU"/>
        </w:rPr>
      </w:pPr>
      <w:r w:rsidRPr="000160C5">
        <w:rPr>
          <w:rFonts w:cs="Times New Roman"/>
          <w:szCs w:val="28"/>
          <w:lang w:val="ru-RU"/>
        </w:rPr>
        <w:lastRenderedPageBreak/>
        <w:t xml:space="preserve">Нормативное основание для административной ответственности </w:t>
      </w:r>
      <w:r w:rsidR="008A3858" w:rsidRPr="000160C5">
        <w:rPr>
          <w:rFonts w:cs="Times New Roman"/>
          <w:szCs w:val="28"/>
          <w:lang w:val="ru-RU"/>
        </w:rPr>
        <w:t xml:space="preserve">эмитента </w:t>
      </w:r>
      <w:r w:rsidRPr="000160C5">
        <w:rPr>
          <w:rFonts w:cs="Times New Roman"/>
          <w:szCs w:val="28"/>
          <w:lang w:val="ru-RU"/>
        </w:rPr>
        <w:t>з</w:t>
      </w:r>
      <w:r w:rsidR="008A3858" w:rsidRPr="000160C5">
        <w:rPr>
          <w:rFonts w:cs="Times New Roman"/>
          <w:szCs w:val="28"/>
          <w:lang w:val="ru-RU"/>
        </w:rPr>
        <w:t>а нарушение требований по раскрытию информации содержится в статье 15.19 КоАП. Состав указанного административного правонарушения</w:t>
      </w:r>
      <w:r w:rsidR="005814FB" w:rsidRPr="000160C5">
        <w:rPr>
          <w:rFonts w:cs="Times New Roman"/>
          <w:szCs w:val="28"/>
          <w:lang w:val="ru-RU"/>
        </w:rPr>
        <w:t xml:space="preserve"> является формальным, то есть </w:t>
      </w:r>
      <w:r w:rsidR="00FF5192" w:rsidRPr="000160C5">
        <w:rPr>
          <w:rFonts w:cs="Times New Roman"/>
          <w:szCs w:val="28"/>
          <w:lang w:val="ru-RU"/>
        </w:rPr>
        <w:t xml:space="preserve">деяние считается законченным вне зависимости от наступивших последствий. </w:t>
      </w:r>
      <w:r w:rsidR="00735F95" w:rsidRPr="000160C5">
        <w:rPr>
          <w:rFonts w:cs="Times New Roman"/>
          <w:szCs w:val="28"/>
          <w:lang w:val="ru-RU"/>
        </w:rPr>
        <w:t xml:space="preserve">Следовательно, и к ответственности субъект привлекается вне зависимости от наступления </w:t>
      </w:r>
      <w:r w:rsidR="008C3DBC" w:rsidRPr="000160C5">
        <w:rPr>
          <w:rFonts w:cs="Times New Roman"/>
          <w:szCs w:val="28"/>
          <w:lang w:val="ru-RU"/>
        </w:rPr>
        <w:t xml:space="preserve">общественно неблагоприятных </w:t>
      </w:r>
      <w:r w:rsidR="00735F95" w:rsidRPr="000160C5">
        <w:rPr>
          <w:rFonts w:cs="Times New Roman"/>
          <w:szCs w:val="28"/>
          <w:lang w:val="ru-RU"/>
        </w:rPr>
        <w:t xml:space="preserve">последствий. </w:t>
      </w:r>
      <w:r w:rsidR="00844D62" w:rsidRPr="000160C5">
        <w:rPr>
          <w:rFonts w:cs="Times New Roman"/>
          <w:szCs w:val="28"/>
          <w:lang w:val="ru-RU"/>
        </w:rPr>
        <w:t>Как высказал</w:t>
      </w:r>
      <w:r w:rsidR="001061DB" w:rsidRPr="000160C5">
        <w:rPr>
          <w:rFonts w:cs="Times New Roman"/>
          <w:szCs w:val="28"/>
          <w:lang w:val="ru-RU"/>
        </w:rPr>
        <w:t>и</w:t>
      </w:r>
      <w:r w:rsidR="00844D62" w:rsidRPr="000160C5">
        <w:rPr>
          <w:rFonts w:cs="Times New Roman"/>
          <w:szCs w:val="28"/>
          <w:lang w:val="ru-RU"/>
        </w:rPr>
        <w:t>с</w:t>
      </w:r>
      <w:r w:rsidR="001061DB" w:rsidRPr="000160C5">
        <w:rPr>
          <w:rFonts w:cs="Times New Roman"/>
          <w:szCs w:val="28"/>
          <w:lang w:val="ru-RU"/>
        </w:rPr>
        <w:t>ь</w:t>
      </w:r>
      <w:r w:rsidR="00844D62" w:rsidRPr="000160C5">
        <w:rPr>
          <w:rFonts w:cs="Times New Roman"/>
          <w:szCs w:val="28"/>
          <w:lang w:val="ru-RU"/>
        </w:rPr>
        <w:t xml:space="preserve"> по этому </w:t>
      </w:r>
      <w:r w:rsidR="003D694B" w:rsidRPr="000160C5">
        <w:rPr>
          <w:rFonts w:cs="Times New Roman"/>
          <w:szCs w:val="28"/>
          <w:lang w:val="ru-RU"/>
        </w:rPr>
        <w:t>поводу</w:t>
      </w:r>
      <w:r w:rsidR="00844D62" w:rsidRPr="000160C5">
        <w:rPr>
          <w:rFonts w:cs="Times New Roman"/>
          <w:szCs w:val="28"/>
          <w:lang w:val="ru-RU"/>
        </w:rPr>
        <w:t xml:space="preserve"> </w:t>
      </w:r>
      <w:r w:rsidR="001061DB" w:rsidRPr="000160C5">
        <w:rPr>
          <w:rFonts w:cs="Times New Roman"/>
          <w:szCs w:val="28"/>
          <w:lang w:val="ru-RU"/>
        </w:rPr>
        <w:t xml:space="preserve">9 ААС и </w:t>
      </w:r>
      <w:r w:rsidR="00844D62" w:rsidRPr="000160C5">
        <w:rPr>
          <w:rFonts w:cs="Times New Roman"/>
          <w:szCs w:val="28"/>
          <w:lang w:val="ru-RU"/>
        </w:rPr>
        <w:t>17 ААС, существенная угроза охраняемым общественным отношениям состоит не в наступлении каких-либо негативных материальных последствий, а в пренебрежительном отношении нарушителя к исполнению своих обязанностей</w:t>
      </w:r>
      <w:r w:rsidR="00844D62" w:rsidRPr="000160C5">
        <w:rPr>
          <w:rStyle w:val="a9"/>
          <w:rFonts w:cs="Times New Roman"/>
          <w:szCs w:val="28"/>
          <w:lang w:val="ru-RU"/>
        </w:rPr>
        <w:footnoteReference w:id="52"/>
      </w:r>
      <w:r w:rsidR="001061DB" w:rsidRPr="000160C5">
        <w:rPr>
          <w:rFonts w:cs="Times New Roman"/>
          <w:szCs w:val="28"/>
          <w:lang w:val="ru-RU"/>
        </w:rPr>
        <w:t>, а также</w:t>
      </w:r>
      <w:r w:rsidR="001061DB" w:rsidRPr="000160C5">
        <w:rPr>
          <w:rFonts w:cs="Times New Roman"/>
          <w:szCs w:val="28"/>
          <w:lang w:val="ru-RU"/>
        </w:rPr>
        <w:tab/>
        <w:t>отсутствии должного контроля со стороны ответственных лиц</w:t>
      </w:r>
      <w:r w:rsidR="001061DB" w:rsidRPr="000160C5">
        <w:rPr>
          <w:rStyle w:val="a9"/>
          <w:rFonts w:cs="Times New Roman"/>
          <w:szCs w:val="28"/>
          <w:lang w:val="ru-RU"/>
        </w:rPr>
        <w:footnoteReference w:id="53"/>
      </w:r>
      <w:r w:rsidR="00844D62" w:rsidRPr="000160C5">
        <w:rPr>
          <w:rFonts w:cs="Times New Roman"/>
          <w:szCs w:val="28"/>
          <w:lang w:val="ru-RU"/>
        </w:rPr>
        <w:t>.</w:t>
      </w:r>
    </w:p>
    <w:p w:rsidR="00782D17" w:rsidRPr="000160C5" w:rsidRDefault="00155FA7" w:rsidP="00155FA7">
      <w:pPr>
        <w:pStyle w:val="TNR14"/>
        <w:rPr>
          <w:rFonts w:cs="Times New Roman"/>
          <w:szCs w:val="28"/>
          <w:lang w:val="ru-RU"/>
        </w:rPr>
      </w:pPr>
      <w:r w:rsidRPr="000160C5">
        <w:rPr>
          <w:rFonts w:cs="Times New Roman"/>
          <w:szCs w:val="28"/>
          <w:lang w:val="ru-RU"/>
        </w:rPr>
        <w:t xml:space="preserve">Объектом указанного административного правонарушения является право инвестора на информацию, закрепленное в </w:t>
      </w:r>
      <w:r w:rsidR="00C3339E">
        <w:rPr>
          <w:rFonts w:cs="Times New Roman"/>
          <w:szCs w:val="28"/>
          <w:lang w:val="ru-RU"/>
        </w:rPr>
        <w:t xml:space="preserve">Гражданском кодексе Российской Федерации и </w:t>
      </w:r>
      <w:r w:rsidRPr="000160C5">
        <w:rPr>
          <w:rFonts w:cs="Times New Roman"/>
          <w:szCs w:val="28"/>
          <w:lang w:val="ru-RU"/>
        </w:rPr>
        <w:t xml:space="preserve">корпоративных законах. Объективная сторона </w:t>
      </w:r>
      <w:r w:rsidR="00C3339E">
        <w:rPr>
          <w:rFonts w:cs="Times New Roman"/>
          <w:szCs w:val="28"/>
          <w:lang w:val="ru-RU"/>
        </w:rPr>
        <w:t xml:space="preserve">правонарушения </w:t>
      </w:r>
      <w:r w:rsidRPr="000160C5">
        <w:rPr>
          <w:rFonts w:cs="Times New Roman"/>
          <w:szCs w:val="28"/>
          <w:lang w:val="ru-RU"/>
        </w:rPr>
        <w:t>выражается в нераскрытии, нарушении порядка и сроков раскрытия, а также раскрытии информации в неполном объеме</w:t>
      </w:r>
      <w:r w:rsidR="00735F95" w:rsidRPr="000160C5">
        <w:rPr>
          <w:rFonts w:cs="Times New Roman"/>
          <w:szCs w:val="28"/>
          <w:lang w:val="ru-RU"/>
        </w:rPr>
        <w:t>,</w:t>
      </w:r>
      <w:r w:rsidR="00361170" w:rsidRPr="000160C5">
        <w:rPr>
          <w:rFonts w:cs="Times New Roman"/>
          <w:szCs w:val="28"/>
          <w:lang w:val="ru-RU"/>
        </w:rPr>
        <w:t xml:space="preserve"> </w:t>
      </w:r>
      <w:r w:rsidRPr="000160C5">
        <w:rPr>
          <w:rFonts w:cs="Times New Roman"/>
          <w:szCs w:val="28"/>
          <w:lang w:val="ru-RU"/>
        </w:rPr>
        <w:t>недостоверной</w:t>
      </w:r>
      <w:r w:rsidR="00361170" w:rsidRPr="000160C5">
        <w:rPr>
          <w:rFonts w:cs="Times New Roman"/>
          <w:szCs w:val="28"/>
          <w:lang w:val="ru-RU"/>
        </w:rPr>
        <w:t xml:space="preserve"> или </w:t>
      </w:r>
      <w:r w:rsidRPr="000160C5">
        <w:rPr>
          <w:rFonts w:cs="Times New Roman"/>
          <w:szCs w:val="28"/>
          <w:lang w:val="ru-RU"/>
        </w:rPr>
        <w:t xml:space="preserve">вводящей в заблуждение. </w:t>
      </w:r>
      <w:r w:rsidR="005814FB" w:rsidRPr="000160C5">
        <w:rPr>
          <w:rFonts w:cs="Times New Roman"/>
          <w:szCs w:val="28"/>
          <w:lang w:val="ru-RU"/>
        </w:rPr>
        <w:t xml:space="preserve">Субъектом правонарушения является эмитент. </w:t>
      </w:r>
      <w:r w:rsidRPr="000160C5">
        <w:rPr>
          <w:rFonts w:cs="Times New Roman"/>
          <w:szCs w:val="28"/>
          <w:lang w:val="ru-RU"/>
        </w:rPr>
        <w:t>Субъективная сторона</w:t>
      </w:r>
      <w:r w:rsidR="00782D17" w:rsidRPr="000160C5">
        <w:rPr>
          <w:rFonts w:cs="Times New Roman"/>
          <w:szCs w:val="28"/>
          <w:lang w:val="ru-RU"/>
        </w:rPr>
        <w:t>, то есть вина субъекта правонарушения, является обязательным элементом состава</w:t>
      </w:r>
      <w:r w:rsidR="003034D1" w:rsidRPr="000160C5">
        <w:rPr>
          <w:rFonts w:cs="Times New Roman"/>
          <w:szCs w:val="28"/>
          <w:lang w:val="ru-RU"/>
        </w:rPr>
        <w:t xml:space="preserve"> административного правонарушения в силу статьи 1.5 КоАП</w:t>
      </w:r>
      <w:r w:rsidR="00782D17" w:rsidRPr="000160C5">
        <w:rPr>
          <w:rFonts w:cs="Times New Roman"/>
          <w:szCs w:val="28"/>
          <w:lang w:val="ru-RU"/>
        </w:rPr>
        <w:t xml:space="preserve">, </w:t>
      </w:r>
      <w:r w:rsidR="003034D1" w:rsidRPr="000160C5">
        <w:rPr>
          <w:rFonts w:cs="Times New Roman"/>
          <w:szCs w:val="28"/>
          <w:lang w:val="ru-RU"/>
        </w:rPr>
        <w:t xml:space="preserve">однако </w:t>
      </w:r>
      <w:r w:rsidR="00782D17" w:rsidRPr="000160C5">
        <w:rPr>
          <w:rFonts w:cs="Times New Roman"/>
          <w:szCs w:val="28"/>
          <w:lang w:val="ru-RU"/>
        </w:rPr>
        <w:t>административная ответственность за данное правонарушение наступает вне зависимости от формы вины (умысел или неосторожность)</w:t>
      </w:r>
      <w:r w:rsidR="00D809A7" w:rsidRPr="000160C5">
        <w:rPr>
          <w:rFonts w:cs="Times New Roman"/>
          <w:szCs w:val="28"/>
          <w:lang w:val="ru-RU"/>
        </w:rPr>
        <w:t>, так как нормативно форма вины не обозначена в соответствующей статье</w:t>
      </w:r>
      <w:r w:rsidR="00782D17" w:rsidRPr="000160C5">
        <w:rPr>
          <w:rFonts w:cs="Times New Roman"/>
          <w:szCs w:val="28"/>
          <w:lang w:val="ru-RU"/>
        </w:rPr>
        <w:t>.</w:t>
      </w:r>
    </w:p>
    <w:p w:rsidR="00A006A9" w:rsidRPr="000160C5" w:rsidRDefault="00782D17" w:rsidP="00782D17">
      <w:pPr>
        <w:pStyle w:val="TNR14"/>
        <w:rPr>
          <w:rFonts w:cs="Times New Roman"/>
          <w:szCs w:val="28"/>
          <w:lang w:val="ru-RU"/>
        </w:rPr>
      </w:pPr>
      <w:r w:rsidRPr="000160C5">
        <w:rPr>
          <w:rFonts w:cs="Times New Roman"/>
          <w:szCs w:val="28"/>
          <w:lang w:val="ru-RU"/>
        </w:rPr>
        <w:t>Согласно статье 2.1 КоАП, вина юридического лица заключается в непринятии им всех зависящих от него мер по соблюдению норм КоАП при условии, что  у него имелась возможность для их соблюдения.</w:t>
      </w:r>
    </w:p>
    <w:p w:rsidR="005759E9" w:rsidRPr="000160C5" w:rsidRDefault="005759E9" w:rsidP="00782D17">
      <w:pPr>
        <w:pStyle w:val="TNR14"/>
        <w:rPr>
          <w:rFonts w:cs="Times New Roman"/>
          <w:szCs w:val="28"/>
          <w:lang w:val="ru-RU"/>
        </w:rPr>
      </w:pPr>
      <w:proofErr w:type="gramStart"/>
      <w:r w:rsidRPr="000160C5">
        <w:rPr>
          <w:rFonts w:cs="Times New Roman"/>
          <w:szCs w:val="28"/>
          <w:lang w:val="ru-RU"/>
        </w:rPr>
        <w:lastRenderedPageBreak/>
        <w:t>Так, например, если эмитент не исполн</w:t>
      </w:r>
      <w:r w:rsidR="00936157" w:rsidRPr="000160C5">
        <w:rPr>
          <w:rFonts w:cs="Times New Roman"/>
          <w:szCs w:val="28"/>
          <w:lang w:val="ru-RU"/>
        </w:rPr>
        <w:t>и</w:t>
      </w:r>
      <w:r w:rsidRPr="000160C5">
        <w:rPr>
          <w:rFonts w:cs="Times New Roman"/>
          <w:szCs w:val="28"/>
          <w:lang w:val="ru-RU"/>
        </w:rPr>
        <w:t xml:space="preserve">л </w:t>
      </w:r>
      <w:r w:rsidR="00936157" w:rsidRPr="000160C5">
        <w:rPr>
          <w:rFonts w:cs="Times New Roman"/>
          <w:szCs w:val="28"/>
          <w:lang w:val="ru-RU"/>
        </w:rPr>
        <w:t>обязанность по</w:t>
      </w:r>
      <w:r w:rsidRPr="000160C5">
        <w:rPr>
          <w:rFonts w:cs="Times New Roman"/>
          <w:szCs w:val="28"/>
          <w:lang w:val="ru-RU"/>
        </w:rPr>
        <w:t xml:space="preserve"> раскрытию информации ввиду неправильного причисления компании к обществам, не обязанным раскрывать такую информацию, то факт незнания в этом случае не освобождает от ответственности, так как с точки зрения КоАП </w:t>
      </w:r>
      <w:r w:rsidR="008C3DBC" w:rsidRPr="000160C5">
        <w:rPr>
          <w:rFonts w:cs="Times New Roman"/>
          <w:szCs w:val="28"/>
          <w:lang w:val="ru-RU"/>
        </w:rPr>
        <w:t xml:space="preserve">эмитент </w:t>
      </w:r>
      <w:r w:rsidRPr="000160C5">
        <w:rPr>
          <w:rFonts w:cs="Times New Roman"/>
          <w:szCs w:val="28"/>
          <w:lang w:val="ru-RU"/>
        </w:rPr>
        <w:t>был обязан принять все зависящие от него меры по соблюдению норм законодательства, то есть, например, сделать запрос в региональное отделение ФСФР</w:t>
      </w:r>
      <w:r w:rsidRPr="000160C5">
        <w:rPr>
          <w:rStyle w:val="a9"/>
          <w:rFonts w:cs="Times New Roman"/>
          <w:szCs w:val="28"/>
          <w:lang w:val="ru-RU"/>
        </w:rPr>
        <w:footnoteReference w:id="54"/>
      </w:r>
      <w:r w:rsidRPr="000160C5">
        <w:rPr>
          <w:rFonts w:cs="Times New Roman"/>
          <w:szCs w:val="28"/>
          <w:lang w:val="ru-RU"/>
        </w:rPr>
        <w:t xml:space="preserve"> с</w:t>
      </w:r>
      <w:proofErr w:type="gramEnd"/>
      <w:r w:rsidRPr="000160C5">
        <w:rPr>
          <w:rFonts w:cs="Times New Roman"/>
          <w:szCs w:val="28"/>
          <w:lang w:val="ru-RU"/>
        </w:rPr>
        <w:t xml:space="preserve"> целью выяснения о налич</w:t>
      </w:r>
      <w:proofErr w:type="gramStart"/>
      <w:r w:rsidRPr="000160C5">
        <w:rPr>
          <w:rFonts w:cs="Times New Roman"/>
          <w:szCs w:val="28"/>
          <w:lang w:val="ru-RU"/>
        </w:rPr>
        <w:t>ии у э</w:t>
      </w:r>
      <w:proofErr w:type="gramEnd"/>
      <w:r w:rsidRPr="000160C5">
        <w:rPr>
          <w:rFonts w:cs="Times New Roman"/>
          <w:szCs w:val="28"/>
          <w:lang w:val="ru-RU"/>
        </w:rPr>
        <w:t xml:space="preserve">митента обязанности раскрывать информацию в соответствии со статьей 30 Закона о РЦБ. </w:t>
      </w:r>
      <w:r w:rsidR="00936157" w:rsidRPr="000160C5">
        <w:rPr>
          <w:rFonts w:cs="Times New Roman"/>
          <w:szCs w:val="28"/>
          <w:lang w:val="ru-RU"/>
        </w:rPr>
        <w:t xml:space="preserve"> В противном случае общество является виновным согласно статье 2.1 КоАП. </w:t>
      </w:r>
    </w:p>
    <w:p w:rsidR="00782D17" w:rsidRPr="000160C5" w:rsidRDefault="00ED6972" w:rsidP="00782D17">
      <w:pPr>
        <w:pStyle w:val="TNR14"/>
        <w:rPr>
          <w:rFonts w:cs="Times New Roman"/>
          <w:szCs w:val="28"/>
          <w:lang w:val="ru-RU"/>
        </w:rPr>
      </w:pPr>
      <w:r w:rsidRPr="000160C5">
        <w:rPr>
          <w:rFonts w:cs="Times New Roman"/>
          <w:szCs w:val="28"/>
          <w:lang w:val="ru-RU"/>
        </w:rPr>
        <w:t xml:space="preserve">Ответственность </w:t>
      </w:r>
      <w:proofErr w:type="gramStart"/>
      <w:r w:rsidRPr="000160C5">
        <w:rPr>
          <w:rFonts w:cs="Times New Roman"/>
          <w:szCs w:val="28"/>
          <w:lang w:val="ru-RU"/>
        </w:rPr>
        <w:t xml:space="preserve">за нарушение </w:t>
      </w:r>
      <w:r w:rsidR="00FF657E" w:rsidRPr="000160C5">
        <w:rPr>
          <w:rFonts w:cs="Times New Roman"/>
          <w:szCs w:val="28"/>
          <w:lang w:val="ru-RU"/>
        </w:rPr>
        <w:t xml:space="preserve">эмитентом требований по раскрытию информации </w:t>
      </w:r>
      <w:r w:rsidRPr="000160C5">
        <w:rPr>
          <w:rFonts w:cs="Times New Roman"/>
          <w:szCs w:val="28"/>
          <w:lang w:val="ru-RU"/>
        </w:rPr>
        <w:t>установлена в форме административного штрафа на должностных лиц в размере</w:t>
      </w:r>
      <w:proofErr w:type="gramEnd"/>
      <w:r w:rsidRPr="000160C5">
        <w:rPr>
          <w:rFonts w:cs="Times New Roman"/>
          <w:szCs w:val="28"/>
          <w:lang w:val="ru-RU"/>
        </w:rPr>
        <w:t xml:space="preserve"> от тридцати до пятидесяти </w:t>
      </w:r>
      <w:r w:rsidR="00D81D06" w:rsidRPr="000160C5">
        <w:rPr>
          <w:rFonts w:cs="Times New Roman"/>
          <w:szCs w:val="28"/>
          <w:lang w:val="ru-RU"/>
        </w:rPr>
        <w:t xml:space="preserve">тысяч рублей или дисквалификации </w:t>
      </w:r>
      <w:r w:rsidRPr="000160C5">
        <w:rPr>
          <w:rFonts w:cs="Times New Roman"/>
          <w:szCs w:val="28"/>
          <w:lang w:val="ru-RU"/>
        </w:rPr>
        <w:t>срок</w:t>
      </w:r>
      <w:r w:rsidR="00D81D06" w:rsidRPr="000160C5">
        <w:rPr>
          <w:rFonts w:cs="Times New Roman"/>
          <w:szCs w:val="28"/>
          <w:lang w:val="ru-RU"/>
        </w:rPr>
        <w:t>ом</w:t>
      </w:r>
      <w:r w:rsidRPr="000160C5">
        <w:rPr>
          <w:rFonts w:cs="Times New Roman"/>
          <w:szCs w:val="28"/>
          <w:lang w:val="ru-RU"/>
        </w:rPr>
        <w:t xml:space="preserve"> от одного года до двух лет; на юридических лиц </w:t>
      </w:r>
      <w:r w:rsidR="008C3DBC" w:rsidRPr="000160C5">
        <w:rPr>
          <w:rFonts w:cs="Times New Roman"/>
          <w:szCs w:val="28"/>
          <w:lang w:val="ru-RU"/>
        </w:rPr>
        <w:t>–</w:t>
      </w:r>
      <w:r w:rsidRPr="000160C5">
        <w:rPr>
          <w:rFonts w:cs="Times New Roman"/>
          <w:szCs w:val="28"/>
          <w:lang w:val="ru-RU"/>
        </w:rPr>
        <w:t xml:space="preserve"> </w:t>
      </w:r>
      <w:r w:rsidR="008C3DBC" w:rsidRPr="000160C5">
        <w:rPr>
          <w:rFonts w:cs="Times New Roman"/>
          <w:szCs w:val="28"/>
          <w:lang w:val="ru-RU"/>
        </w:rPr>
        <w:t xml:space="preserve">административный штраф в размере </w:t>
      </w:r>
      <w:r w:rsidRPr="000160C5">
        <w:rPr>
          <w:rFonts w:cs="Times New Roman"/>
          <w:szCs w:val="28"/>
          <w:lang w:val="ru-RU"/>
        </w:rPr>
        <w:t>от семисот тысяч до одного миллиона рублей</w:t>
      </w:r>
      <w:r w:rsidRPr="000160C5">
        <w:rPr>
          <w:rFonts w:cs="Times New Roman"/>
          <w:i/>
          <w:szCs w:val="28"/>
          <w:lang w:val="ru-RU"/>
        </w:rPr>
        <w:t>.</w:t>
      </w:r>
    </w:p>
    <w:p w:rsidR="00FF214D" w:rsidRPr="000160C5" w:rsidRDefault="00EC3933" w:rsidP="00782D17">
      <w:pPr>
        <w:pStyle w:val="TNR14"/>
        <w:rPr>
          <w:rFonts w:cs="Times New Roman"/>
          <w:szCs w:val="28"/>
          <w:lang w:val="ru-RU"/>
        </w:rPr>
      </w:pPr>
      <w:r w:rsidRPr="000160C5">
        <w:rPr>
          <w:rFonts w:cs="Times New Roman"/>
          <w:szCs w:val="28"/>
          <w:lang w:val="ru-RU"/>
        </w:rPr>
        <w:t>В</w:t>
      </w:r>
      <w:r w:rsidR="00E96EA4" w:rsidRPr="000160C5">
        <w:rPr>
          <w:rFonts w:cs="Times New Roman"/>
          <w:szCs w:val="28"/>
          <w:lang w:val="ru-RU"/>
        </w:rPr>
        <w:t xml:space="preserve"> США</w:t>
      </w:r>
      <w:r w:rsidRPr="000160C5">
        <w:rPr>
          <w:rFonts w:cs="Times New Roman"/>
          <w:szCs w:val="28"/>
          <w:lang w:val="ru-RU"/>
        </w:rPr>
        <w:t xml:space="preserve"> общие положения об административной ответственности установлены Законом об административном производстве (</w:t>
      </w:r>
      <w:r w:rsidRPr="000160C5">
        <w:rPr>
          <w:rFonts w:cs="Times New Roman"/>
          <w:szCs w:val="28"/>
        </w:rPr>
        <w:t>the</w:t>
      </w:r>
      <w:r w:rsidRPr="000160C5">
        <w:rPr>
          <w:rFonts w:cs="Times New Roman"/>
          <w:szCs w:val="28"/>
          <w:lang w:val="ru-RU"/>
        </w:rPr>
        <w:t xml:space="preserve"> </w:t>
      </w:r>
      <w:r w:rsidRPr="000160C5">
        <w:rPr>
          <w:rFonts w:cs="Times New Roman"/>
          <w:szCs w:val="28"/>
        </w:rPr>
        <w:t>Administrative</w:t>
      </w:r>
      <w:r w:rsidRPr="000160C5">
        <w:rPr>
          <w:rFonts w:cs="Times New Roman"/>
          <w:szCs w:val="28"/>
          <w:lang w:val="ru-RU"/>
        </w:rPr>
        <w:t xml:space="preserve"> </w:t>
      </w:r>
      <w:r w:rsidRPr="000160C5">
        <w:rPr>
          <w:rFonts w:cs="Times New Roman"/>
          <w:szCs w:val="28"/>
        </w:rPr>
        <w:t>Procedure</w:t>
      </w:r>
      <w:r w:rsidRPr="000160C5">
        <w:rPr>
          <w:rFonts w:cs="Times New Roman"/>
          <w:szCs w:val="28"/>
          <w:lang w:val="ru-RU"/>
        </w:rPr>
        <w:t xml:space="preserve"> </w:t>
      </w:r>
      <w:r w:rsidRPr="000160C5">
        <w:rPr>
          <w:rFonts w:cs="Times New Roman"/>
          <w:szCs w:val="28"/>
        </w:rPr>
        <w:t>Act</w:t>
      </w:r>
      <w:r w:rsidRPr="000160C5">
        <w:rPr>
          <w:rFonts w:cs="Times New Roman"/>
          <w:szCs w:val="28"/>
          <w:lang w:val="ru-RU"/>
        </w:rPr>
        <w:t>) 1946 года</w:t>
      </w:r>
      <w:r w:rsidR="00D81D06" w:rsidRPr="000160C5">
        <w:rPr>
          <w:rStyle w:val="a9"/>
          <w:rFonts w:cs="Times New Roman"/>
          <w:szCs w:val="28"/>
          <w:lang w:val="ru-RU"/>
        </w:rPr>
        <w:footnoteReference w:id="55"/>
      </w:r>
      <w:r w:rsidRPr="000160C5">
        <w:rPr>
          <w:rFonts w:cs="Times New Roman"/>
          <w:szCs w:val="28"/>
          <w:lang w:val="ru-RU"/>
        </w:rPr>
        <w:t xml:space="preserve">. Закон определяет основы функционирования государственных органов. В законе определено понятие санкции, которая среди прочего включает </w:t>
      </w:r>
      <w:r w:rsidR="00FF214D" w:rsidRPr="000160C5">
        <w:rPr>
          <w:rFonts w:cs="Times New Roman"/>
          <w:szCs w:val="28"/>
          <w:lang w:val="ru-RU"/>
        </w:rPr>
        <w:t xml:space="preserve">в себя штраф как меру уголовной </w:t>
      </w:r>
      <w:r w:rsidR="00D81D06" w:rsidRPr="000160C5">
        <w:rPr>
          <w:rFonts w:cs="Times New Roman"/>
          <w:szCs w:val="28"/>
          <w:lang w:val="ru-RU"/>
        </w:rPr>
        <w:t>и</w:t>
      </w:r>
      <w:r w:rsidR="00FF214D" w:rsidRPr="000160C5">
        <w:rPr>
          <w:rFonts w:cs="Times New Roman"/>
          <w:szCs w:val="28"/>
          <w:lang w:val="ru-RU"/>
        </w:rPr>
        <w:t xml:space="preserve"> административной ответственности.</w:t>
      </w:r>
    </w:p>
    <w:p w:rsidR="0060695E" w:rsidRPr="000160C5" w:rsidRDefault="00DB28FD" w:rsidP="00782D17">
      <w:pPr>
        <w:pStyle w:val="TNR14"/>
        <w:rPr>
          <w:rFonts w:cs="Times New Roman"/>
          <w:szCs w:val="28"/>
          <w:lang w:val="ru-RU"/>
        </w:rPr>
      </w:pPr>
      <w:proofErr w:type="gramStart"/>
      <w:r>
        <w:rPr>
          <w:rFonts w:cs="Times New Roman"/>
          <w:szCs w:val="28"/>
          <w:lang w:val="ru-RU"/>
        </w:rPr>
        <w:t>Стоит указать, что в</w:t>
      </w:r>
      <w:r w:rsidR="0060695E" w:rsidRPr="000160C5">
        <w:rPr>
          <w:rFonts w:cs="Times New Roman"/>
          <w:szCs w:val="28"/>
          <w:lang w:val="ru-RU"/>
        </w:rPr>
        <w:t xml:space="preserve"> законодательстве США все противоправные деяния делятся на следующие категории: </w:t>
      </w:r>
      <w:r w:rsidR="00A6292F" w:rsidRPr="000160C5">
        <w:rPr>
          <w:rFonts w:cs="Times New Roman"/>
          <w:szCs w:val="28"/>
          <w:lang w:val="ru-RU"/>
        </w:rPr>
        <w:t xml:space="preserve">фелонии (преступления, за которые может быть назначено наказание в виде лишения свободы сроком более 1 года вплоть до пожизненного заключения и смертной казни), мисдиминоры (наименее тяжкие преступления, наказание за которые назначается в виде </w:t>
      </w:r>
      <w:r w:rsidR="00FF657E" w:rsidRPr="000160C5">
        <w:rPr>
          <w:rFonts w:cs="Times New Roman"/>
          <w:szCs w:val="28"/>
          <w:lang w:val="ru-RU"/>
        </w:rPr>
        <w:t xml:space="preserve">тюремного </w:t>
      </w:r>
      <w:r w:rsidR="00A6292F" w:rsidRPr="000160C5">
        <w:rPr>
          <w:rFonts w:cs="Times New Roman"/>
          <w:szCs w:val="28"/>
          <w:lang w:val="ru-RU"/>
        </w:rPr>
        <w:t>заключения сроком не более 1 года), а также административные правонарушения (наказание за которые</w:t>
      </w:r>
      <w:proofErr w:type="gramEnd"/>
      <w:r w:rsidR="00A6292F" w:rsidRPr="000160C5">
        <w:rPr>
          <w:rFonts w:cs="Times New Roman"/>
          <w:szCs w:val="28"/>
          <w:lang w:val="ru-RU"/>
        </w:rPr>
        <w:t xml:space="preserve"> назначается в виде штрафа или иной </w:t>
      </w:r>
      <w:r w:rsidR="00A6292F" w:rsidRPr="000160C5">
        <w:rPr>
          <w:rFonts w:cs="Times New Roman"/>
          <w:szCs w:val="28"/>
          <w:lang w:val="ru-RU"/>
        </w:rPr>
        <w:lastRenderedPageBreak/>
        <w:t>административной меры, например, отзыв лицензии)</w:t>
      </w:r>
      <w:r w:rsidR="00A6292F" w:rsidRPr="000160C5">
        <w:rPr>
          <w:rStyle w:val="a9"/>
          <w:rFonts w:cs="Times New Roman"/>
          <w:szCs w:val="28"/>
          <w:lang w:val="ru-RU"/>
        </w:rPr>
        <w:footnoteReference w:id="56"/>
      </w:r>
      <w:r w:rsidR="00A6292F" w:rsidRPr="000160C5">
        <w:rPr>
          <w:rFonts w:cs="Times New Roman"/>
          <w:szCs w:val="28"/>
          <w:lang w:val="ru-RU"/>
        </w:rPr>
        <w:t>.</w:t>
      </w:r>
      <w:r>
        <w:rPr>
          <w:rFonts w:cs="Times New Roman"/>
          <w:szCs w:val="28"/>
          <w:lang w:val="ru-RU"/>
        </w:rPr>
        <w:t xml:space="preserve"> Нарушения в области раскрытия информации эмитентами мо</w:t>
      </w:r>
      <w:r w:rsidR="00D60156">
        <w:rPr>
          <w:rFonts w:cs="Times New Roman"/>
          <w:szCs w:val="28"/>
          <w:lang w:val="ru-RU"/>
        </w:rPr>
        <w:t>гу</w:t>
      </w:r>
      <w:r>
        <w:rPr>
          <w:rFonts w:cs="Times New Roman"/>
          <w:szCs w:val="28"/>
          <w:lang w:val="ru-RU"/>
        </w:rPr>
        <w:t xml:space="preserve">т квалифицироваться по-разному в зависимости от тяжести совершенного правонарушения. </w:t>
      </w:r>
    </w:p>
    <w:p w:rsidR="00D50E15" w:rsidRPr="000160C5" w:rsidRDefault="00D50E15" w:rsidP="00782D17">
      <w:pPr>
        <w:pStyle w:val="TNR14"/>
        <w:rPr>
          <w:rFonts w:cs="Times New Roman"/>
          <w:szCs w:val="28"/>
          <w:lang w:val="ru-RU"/>
        </w:rPr>
      </w:pPr>
      <w:r w:rsidRPr="000160C5">
        <w:rPr>
          <w:rFonts w:cs="Times New Roman"/>
          <w:szCs w:val="28"/>
          <w:lang w:val="ru-RU"/>
        </w:rPr>
        <w:t xml:space="preserve">Ввиду различий в системе права и подхода к изданию законодательных актов в США отсутствуют кодифицированные источники норм об административной ответственности, а санкции находятся в соответствующих законах. </w:t>
      </w:r>
    </w:p>
    <w:p w:rsidR="008B6394" w:rsidRPr="000160C5" w:rsidRDefault="00D50E15" w:rsidP="00782D17">
      <w:pPr>
        <w:pStyle w:val="TNR14"/>
        <w:rPr>
          <w:rFonts w:cs="Times New Roman"/>
          <w:szCs w:val="28"/>
          <w:lang w:val="ru-RU"/>
        </w:rPr>
      </w:pPr>
      <w:r w:rsidRPr="000160C5">
        <w:rPr>
          <w:rFonts w:cs="Times New Roman"/>
          <w:szCs w:val="28"/>
          <w:lang w:val="ru-RU"/>
        </w:rPr>
        <w:t>Так, Закон о торговле ценными бумагами</w:t>
      </w:r>
      <w:r w:rsidR="00A953B9" w:rsidRPr="000160C5">
        <w:rPr>
          <w:rFonts w:cs="Times New Roman"/>
          <w:szCs w:val="28"/>
          <w:lang w:val="ru-RU"/>
        </w:rPr>
        <w:t xml:space="preserve"> 1934 года содержит, в том числе, </w:t>
      </w:r>
      <w:r w:rsidRPr="000160C5">
        <w:rPr>
          <w:rFonts w:cs="Times New Roman"/>
          <w:szCs w:val="28"/>
          <w:lang w:val="ru-RU"/>
        </w:rPr>
        <w:t>нормы об ответственности за нарушение положений закона. Стоит отметить, что состав правонарушения в законе описан достаточно неопределенно: нормы, содержащие положения об ответственности, при определении состава правонару</w:t>
      </w:r>
      <w:r w:rsidR="008B6394" w:rsidRPr="000160C5">
        <w:rPr>
          <w:rFonts w:cs="Times New Roman"/>
          <w:szCs w:val="28"/>
          <w:lang w:val="ru-RU"/>
        </w:rPr>
        <w:t>шения отсылают к закону вообще</w:t>
      </w:r>
      <w:r w:rsidR="00A953B9" w:rsidRPr="000160C5">
        <w:rPr>
          <w:rFonts w:cs="Times New Roman"/>
          <w:szCs w:val="28"/>
          <w:lang w:val="ru-RU"/>
        </w:rPr>
        <w:t>.</w:t>
      </w:r>
    </w:p>
    <w:p w:rsidR="0076586D" w:rsidRPr="000160C5" w:rsidRDefault="008B6394" w:rsidP="00782D17">
      <w:pPr>
        <w:pStyle w:val="TNR14"/>
        <w:rPr>
          <w:rFonts w:cs="Times New Roman"/>
          <w:szCs w:val="28"/>
          <w:lang w:val="ru-RU"/>
        </w:rPr>
      </w:pPr>
      <w:proofErr w:type="gramStart"/>
      <w:r w:rsidRPr="000160C5">
        <w:rPr>
          <w:rFonts w:cs="Times New Roman"/>
          <w:szCs w:val="28"/>
          <w:lang w:val="ru-RU"/>
        </w:rPr>
        <w:t xml:space="preserve">В частности статья 21 Закона о торговле ценными бумагами предусматривает, что при нарушении </w:t>
      </w:r>
      <w:r w:rsidR="00D91552" w:rsidRPr="000160C5">
        <w:rPr>
          <w:rFonts w:cs="Times New Roman"/>
          <w:szCs w:val="28"/>
          <w:lang w:val="ru-RU"/>
        </w:rPr>
        <w:t>любым лицом</w:t>
      </w:r>
      <w:r w:rsidR="00D91552" w:rsidRPr="000160C5">
        <w:rPr>
          <w:rStyle w:val="a9"/>
          <w:rFonts w:cs="Times New Roman"/>
          <w:szCs w:val="28"/>
          <w:lang w:val="ru-RU"/>
        </w:rPr>
        <w:footnoteReference w:id="57"/>
      </w:r>
      <w:r w:rsidR="00D91552" w:rsidRPr="000160C5">
        <w:rPr>
          <w:rFonts w:cs="Times New Roman"/>
          <w:szCs w:val="28"/>
          <w:lang w:val="ru-RU"/>
        </w:rPr>
        <w:t xml:space="preserve"> любых положе</w:t>
      </w:r>
      <w:r w:rsidR="0076586D" w:rsidRPr="000160C5">
        <w:rPr>
          <w:rFonts w:cs="Times New Roman"/>
          <w:szCs w:val="28"/>
          <w:lang w:val="ru-RU"/>
        </w:rPr>
        <w:t>н</w:t>
      </w:r>
      <w:r w:rsidR="00D91552" w:rsidRPr="000160C5">
        <w:rPr>
          <w:rFonts w:cs="Times New Roman"/>
          <w:szCs w:val="28"/>
          <w:lang w:val="ru-RU"/>
        </w:rPr>
        <w:t>ий указанного закона</w:t>
      </w:r>
      <w:r w:rsidR="0076586D" w:rsidRPr="000160C5">
        <w:rPr>
          <w:rFonts w:cs="Times New Roman"/>
          <w:szCs w:val="28"/>
          <w:lang w:val="ru-RU"/>
        </w:rPr>
        <w:t xml:space="preserve"> или требований предписания Комиссии США о прекращении и недопущении впредь противоправных действий</w:t>
      </w:r>
      <w:r w:rsidR="00B53D58" w:rsidRPr="000160C5">
        <w:rPr>
          <w:rFonts w:cs="Times New Roman"/>
          <w:szCs w:val="28"/>
          <w:lang w:val="ru-RU"/>
        </w:rPr>
        <w:t xml:space="preserve"> (</w:t>
      </w:r>
      <w:r w:rsidR="00B53D58" w:rsidRPr="000160C5">
        <w:rPr>
          <w:rFonts w:cs="Times New Roman"/>
          <w:szCs w:val="28"/>
        </w:rPr>
        <w:t>cease</w:t>
      </w:r>
      <w:r w:rsidR="00B53D58" w:rsidRPr="000160C5">
        <w:rPr>
          <w:rFonts w:cs="Times New Roman"/>
          <w:szCs w:val="28"/>
          <w:lang w:val="ru-RU"/>
        </w:rPr>
        <w:t>-</w:t>
      </w:r>
      <w:r w:rsidR="00B53D58" w:rsidRPr="000160C5">
        <w:rPr>
          <w:rFonts w:cs="Times New Roman"/>
          <w:szCs w:val="28"/>
        </w:rPr>
        <w:t>and</w:t>
      </w:r>
      <w:r w:rsidR="00B53D58" w:rsidRPr="000160C5">
        <w:rPr>
          <w:rFonts w:cs="Times New Roman"/>
          <w:szCs w:val="28"/>
          <w:lang w:val="ru-RU"/>
        </w:rPr>
        <w:t>-</w:t>
      </w:r>
      <w:r w:rsidR="00B53D58" w:rsidRPr="000160C5">
        <w:rPr>
          <w:rFonts w:cs="Times New Roman"/>
          <w:szCs w:val="28"/>
        </w:rPr>
        <w:t>desist</w:t>
      </w:r>
      <w:r w:rsidR="00B53D58" w:rsidRPr="000160C5">
        <w:rPr>
          <w:rFonts w:cs="Times New Roman"/>
          <w:szCs w:val="28"/>
          <w:lang w:val="ru-RU"/>
        </w:rPr>
        <w:t xml:space="preserve"> </w:t>
      </w:r>
      <w:r w:rsidR="00B53D58" w:rsidRPr="000160C5">
        <w:rPr>
          <w:rFonts w:cs="Times New Roman"/>
          <w:szCs w:val="28"/>
        </w:rPr>
        <w:t>order</w:t>
      </w:r>
      <w:r w:rsidR="00B53D58" w:rsidRPr="000160C5">
        <w:rPr>
          <w:rFonts w:cs="Times New Roman"/>
          <w:szCs w:val="28"/>
          <w:lang w:val="ru-RU"/>
        </w:rPr>
        <w:t>)</w:t>
      </w:r>
      <w:r w:rsidR="0076586D" w:rsidRPr="000160C5">
        <w:rPr>
          <w:rFonts w:cs="Times New Roman"/>
          <w:szCs w:val="28"/>
          <w:lang w:val="ru-RU"/>
        </w:rPr>
        <w:t xml:space="preserve"> Комиссия США может обратиться в суд с требованием о наложении на нарушителя штрафа, который уплачивается в бюджет государства, и размер которого зависит от повторяемости совершенного деяния (максимальный</w:t>
      </w:r>
      <w:proofErr w:type="gramEnd"/>
      <w:r w:rsidR="0076586D" w:rsidRPr="000160C5">
        <w:rPr>
          <w:rFonts w:cs="Times New Roman"/>
          <w:szCs w:val="28"/>
          <w:lang w:val="ru-RU"/>
        </w:rPr>
        <w:t xml:space="preserve"> размер для юридических лиц составляет 500 000 долларов США). </w:t>
      </w:r>
    </w:p>
    <w:p w:rsidR="00E30CBD" w:rsidRPr="000160C5" w:rsidRDefault="0076586D" w:rsidP="00782D17">
      <w:pPr>
        <w:pStyle w:val="TNR14"/>
        <w:rPr>
          <w:rFonts w:cs="Times New Roman"/>
          <w:szCs w:val="28"/>
          <w:lang w:val="ru-RU"/>
        </w:rPr>
      </w:pPr>
      <w:r w:rsidRPr="000160C5">
        <w:rPr>
          <w:rFonts w:cs="Times New Roman"/>
          <w:szCs w:val="28"/>
          <w:lang w:val="ru-RU"/>
        </w:rPr>
        <w:t xml:space="preserve">Та же статья предусматривает постоянное или временное отстранение судом от должности должностного лица корпорации в случае, если его поведение явно свидетельствует о его некомпетентности в качестве такого должностного </w:t>
      </w:r>
      <w:proofErr w:type="gramStart"/>
      <w:r w:rsidRPr="000160C5">
        <w:rPr>
          <w:rFonts w:cs="Times New Roman"/>
          <w:szCs w:val="28"/>
          <w:lang w:val="ru-RU"/>
        </w:rPr>
        <w:t>лица</w:t>
      </w:r>
      <w:proofErr w:type="gramEnd"/>
      <w:r w:rsidRPr="000160C5">
        <w:rPr>
          <w:rFonts w:cs="Times New Roman"/>
          <w:szCs w:val="28"/>
          <w:lang w:val="ru-RU"/>
        </w:rPr>
        <w:t xml:space="preserve"> при нарушении так называемого правила 10</w:t>
      </w:r>
      <w:r w:rsidRPr="000160C5">
        <w:rPr>
          <w:rFonts w:cs="Times New Roman"/>
          <w:szCs w:val="28"/>
        </w:rPr>
        <w:t>b</w:t>
      </w:r>
      <w:r w:rsidRPr="000160C5">
        <w:rPr>
          <w:rFonts w:cs="Times New Roman"/>
          <w:szCs w:val="28"/>
          <w:lang w:val="ru-RU"/>
        </w:rPr>
        <w:t xml:space="preserve"> (</w:t>
      </w:r>
      <w:r w:rsidRPr="000160C5">
        <w:rPr>
          <w:rFonts w:cs="Times New Roman"/>
          <w:szCs w:val="28"/>
        </w:rPr>
        <w:t>Antifraud</w:t>
      </w:r>
      <w:r w:rsidRPr="000160C5">
        <w:rPr>
          <w:rFonts w:cs="Times New Roman"/>
          <w:szCs w:val="28"/>
          <w:lang w:val="ru-RU"/>
        </w:rPr>
        <w:t xml:space="preserve"> </w:t>
      </w:r>
      <w:r w:rsidRPr="000160C5">
        <w:rPr>
          <w:rFonts w:cs="Times New Roman"/>
          <w:szCs w:val="28"/>
        </w:rPr>
        <w:t>rule</w:t>
      </w:r>
      <w:r w:rsidRPr="000160C5">
        <w:rPr>
          <w:rFonts w:cs="Times New Roman"/>
          <w:szCs w:val="28"/>
          <w:lang w:val="ru-RU"/>
        </w:rPr>
        <w:t>)</w:t>
      </w:r>
      <w:r w:rsidR="00FF349A" w:rsidRPr="000160C5">
        <w:rPr>
          <w:rFonts w:cs="Times New Roman"/>
          <w:szCs w:val="28"/>
          <w:lang w:val="ru-RU"/>
        </w:rPr>
        <w:t xml:space="preserve">, предусматривающего неправомерность раскрытия недостоверных или </w:t>
      </w:r>
      <w:r w:rsidR="00FF349A" w:rsidRPr="000160C5">
        <w:rPr>
          <w:rFonts w:cs="Times New Roman"/>
          <w:szCs w:val="28"/>
          <w:lang w:val="ru-RU"/>
        </w:rPr>
        <w:lastRenderedPageBreak/>
        <w:t>ложных сведений, а также упущения каких-либо существенных сведений, которые могли повлиять на решение инвестора</w:t>
      </w:r>
      <w:r w:rsidR="00FF349A" w:rsidRPr="000160C5">
        <w:rPr>
          <w:rStyle w:val="a9"/>
          <w:rFonts w:cs="Times New Roman"/>
          <w:szCs w:val="28"/>
          <w:lang w:val="ru-RU"/>
        </w:rPr>
        <w:footnoteReference w:id="58"/>
      </w:r>
      <w:r w:rsidR="00FF349A" w:rsidRPr="000160C5">
        <w:rPr>
          <w:rFonts w:cs="Times New Roman"/>
          <w:szCs w:val="28"/>
          <w:lang w:val="ru-RU"/>
        </w:rPr>
        <w:t>.</w:t>
      </w:r>
      <w:r w:rsidRPr="000160C5">
        <w:rPr>
          <w:rFonts w:cs="Times New Roman"/>
          <w:szCs w:val="28"/>
          <w:lang w:val="ru-RU"/>
        </w:rPr>
        <w:t xml:space="preserve">    </w:t>
      </w:r>
    </w:p>
    <w:p w:rsidR="00FF349A" w:rsidRPr="000160C5" w:rsidRDefault="0060695E" w:rsidP="00782D17">
      <w:pPr>
        <w:pStyle w:val="TNR14"/>
        <w:rPr>
          <w:rFonts w:cs="Times New Roman"/>
          <w:szCs w:val="28"/>
          <w:lang w:val="ru-RU"/>
        </w:rPr>
      </w:pPr>
      <w:r w:rsidRPr="000160C5">
        <w:rPr>
          <w:rFonts w:cs="Times New Roman"/>
          <w:szCs w:val="28"/>
          <w:lang w:val="ru-RU"/>
        </w:rPr>
        <w:t>Кроме того, статья 32 того же закона предусматривает пеню в размере 100 долларов за каждый день просрочки подачи обязательных периодических отчетов эмитента.</w:t>
      </w:r>
    </w:p>
    <w:p w:rsidR="00FF657E" w:rsidRPr="000160C5" w:rsidRDefault="00FF657E" w:rsidP="00782D17">
      <w:pPr>
        <w:pStyle w:val="TNR14"/>
        <w:rPr>
          <w:rFonts w:cs="Times New Roman"/>
          <w:szCs w:val="28"/>
          <w:lang w:val="ru-RU"/>
        </w:rPr>
      </w:pPr>
      <w:r w:rsidRPr="000160C5">
        <w:rPr>
          <w:rFonts w:cs="Times New Roman"/>
          <w:szCs w:val="28"/>
          <w:lang w:val="ru-RU"/>
        </w:rPr>
        <w:t xml:space="preserve">Таким образом, состав правонарушения по американскому законодательству определен таким образом, что квалификация деяния как правонарушения находится исключительно в компетенции Комиссии США, которая подает жалобу на нарушителя в суд, и уже на основании поданной жалобы суд выносит решение. </w:t>
      </w:r>
      <w:r w:rsidR="00F65A00" w:rsidRPr="000160C5">
        <w:rPr>
          <w:rFonts w:cs="Times New Roman"/>
          <w:szCs w:val="28"/>
          <w:lang w:val="ru-RU"/>
        </w:rPr>
        <w:t xml:space="preserve">Можно сделать вывод, что исполнительный и судебный орган </w:t>
      </w:r>
      <w:r w:rsidR="00A953B9" w:rsidRPr="000160C5">
        <w:rPr>
          <w:rFonts w:cs="Times New Roman"/>
          <w:szCs w:val="28"/>
          <w:lang w:val="ru-RU"/>
        </w:rPr>
        <w:t xml:space="preserve">США при рассмотрении дела о привлечении эмитента к ответственности </w:t>
      </w:r>
      <w:r w:rsidR="00F65A00" w:rsidRPr="000160C5">
        <w:rPr>
          <w:rFonts w:cs="Times New Roman"/>
          <w:szCs w:val="28"/>
          <w:lang w:val="ru-RU"/>
        </w:rPr>
        <w:t>не связаны точными формулировками закона, и их полномочия в этом случае достаточно широки</w:t>
      </w:r>
      <w:r w:rsidR="00A953B9" w:rsidRPr="000160C5">
        <w:rPr>
          <w:rFonts w:cs="Times New Roman"/>
          <w:szCs w:val="28"/>
          <w:lang w:val="ru-RU"/>
        </w:rPr>
        <w:t xml:space="preserve"> в отличие от </w:t>
      </w:r>
      <w:r w:rsidR="003B4292" w:rsidRPr="000160C5">
        <w:rPr>
          <w:rFonts w:cs="Times New Roman"/>
          <w:szCs w:val="28"/>
          <w:lang w:val="ru-RU"/>
        </w:rPr>
        <w:t xml:space="preserve">четко сформулированной нормы КоАП РФ, содержащей </w:t>
      </w:r>
      <w:r w:rsidR="000C308E" w:rsidRPr="000160C5">
        <w:rPr>
          <w:rFonts w:cs="Times New Roman"/>
          <w:szCs w:val="28"/>
          <w:lang w:val="ru-RU"/>
        </w:rPr>
        <w:t>состав правонарушения</w:t>
      </w:r>
      <w:r w:rsidR="00F65A00" w:rsidRPr="000160C5">
        <w:rPr>
          <w:rFonts w:cs="Times New Roman"/>
          <w:szCs w:val="28"/>
          <w:lang w:val="ru-RU"/>
        </w:rPr>
        <w:t>.</w:t>
      </w:r>
    </w:p>
    <w:p w:rsidR="001E1CED" w:rsidRPr="000160C5" w:rsidRDefault="001E1CED" w:rsidP="00782D17">
      <w:pPr>
        <w:pStyle w:val="TNR14"/>
        <w:rPr>
          <w:rFonts w:cs="Times New Roman"/>
          <w:szCs w:val="28"/>
          <w:lang w:val="ru-RU"/>
        </w:rPr>
      </w:pPr>
      <w:proofErr w:type="gramStart"/>
      <w:r w:rsidRPr="000160C5">
        <w:rPr>
          <w:rFonts w:cs="Times New Roman"/>
          <w:szCs w:val="28"/>
          <w:lang w:val="ru-RU"/>
        </w:rPr>
        <w:t>Исходя из выше обозначенного можно заключить</w:t>
      </w:r>
      <w:proofErr w:type="gramEnd"/>
      <w:r w:rsidRPr="000160C5">
        <w:rPr>
          <w:rFonts w:cs="Times New Roman"/>
          <w:szCs w:val="28"/>
          <w:lang w:val="ru-RU"/>
        </w:rPr>
        <w:t xml:space="preserve">, что ввиду различий в правовой системе в России и США выработаны разные подходы к определению и формальному закреплению правонарушения и его состава, что дает разный спектр полномочий правоприменительным органам. </w:t>
      </w:r>
      <w:r w:rsidR="00544E77" w:rsidRPr="000160C5">
        <w:rPr>
          <w:rFonts w:cs="Times New Roman"/>
          <w:szCs w:val="28"/>
          <w:lang w:val="ru-RU"/>
        </w:rPr>
        <w:t xml:space="preserve">Для целей иллюстрации сказанного далее будут рассмотрены </w:t>
      </w:r>
      <w:r w:rsidR="00F5387D" w:rsidRPr="000160C5">
        <w:rPr>
          <w:rFonts w:cs="Times New Roman"/>
          <w:szCs w:val="28"/>
          <w:lang w:val="ru-RU"/>
        </w:rPr>
        <w:t>конкретные составы на примере практики применения права</w:t>
      </w:r>
      <w:r w:rsidR="00544E77" w:rsidRPr="000160C5">
        <w:rPr>
          <w:rFonts w:cs="Times New Roman"/>
          <w:szCs w:val="28"/>
          <w:lang w:val="ru-RU"/>
        </w:rPr>
        <w:t xml:space="preserve"> в России и США. </w:t>
      </w:r>
    </w:p>
    <w:p w:rsidR="00600D50" w:rsidRPr="000160C5" w:rsidRDefault="00600D50" w:rsidP="000C308E">
      <w:pPr>
        <w:pStyle w:val="3"/>
        <w:rPr>
          <w:rFonts w:cs="Times New Roman"/>
          <w:szCs w:val="28"/>
        </w:rPr>
      </w:pPr>
      <w:bookmarkStart w:id="18" w:name="_Toc356162058"/>
      <w:r w:rsidRPr="000160C5">
        <w:rPr>
          <w:rFonts w:cs="Times New Roman"/>
          <w:szCs w:val="28"/>
        </w:rPr>
        <w:t>§1.</w:t>
      </w:r>
      <w:r w:rsidR="00F5387D" w:rsidRPr="000160C5">
        <w:rPr>
          <w:rFonts w:cs="Times New Roman"/>
          <w:szCs w:val="28"/>
        </w:rPr>
        <w:t>2</w:t>
      </w:r>
      <w:r w:rsidRPr="000160C5">
        <w:rPr>
          <w:rFonts w:cs="Times New Roman"/>
          <w:szCs w:val="28"/>
        </w:rPr>
        <w:t xml:space="preserve"> Неисполнение </w:t>
      </w:r>
      <w:r w:rsidR="003F03B7" w:rsidRPr="000160C5">
        <w:rPr>
          <w:rFonts w:cs="Times New Roman"/>
          <w:szCs w:val="28"/>
        </w:rPr>
        <w:t xml:space="preserve">(ненадлежащее исполнение) </w:t>
      </w:r>
      <w:r w:rsidRPr="000160C5">
        <w:rPr>
          <w:rFonts w:cs="Times New Roman"/>
          <w:szCs w:val="28"/>
        </w:rPr>
        <w:t>эмитентом обязанности по раскрытию информации</w:t>
      </w:r>
      <w:bookmarkEnd w:id="18"/>
      <w:r w:rsidR="00EE6A93" w:rsidRPr="000160C5">
        <w:rPr>
          <w:rFonts w:cs="Times New Roman"/>
          <w:szCs w:val="28"/>
        </w:rPr>
        <w:t xml:space="preserve"> </w:t>
      </w:r>
    </w:p>
    <w:p w:rsidR="003F03B7" w:rsidRPr="000160C5" w:rsidRDefault="00020C50" w:rsidP="00895CD6">
      <w:pPr>
        <w:pStyle w:val="TNR14"/>
        <w:rPr>
          <w:rFonts w:cs="Times New Roman"/>
          <w:szCs w:val="28"/>
          <w:lang w:val="ru-RU"/>
        </w:rPr>
      </w:pPr>
      <w:r w:rsidRPr="000160C5">
        <w:rPr>
          <w:rFonts w:cs="Times New Roman"/>
          <w:szCs w:val="28"/>
          <w:lang w:val="ru-RU"/>
        </w:rPr>
        <w:t>Раскрытие информации должно осуществляться надлежащим образом в предусмотренном порядке с соблюдением установленного срока.</w:t>
      </w:r>
    </w:p>
    <w:p w:rsidR="00895CD6" w:rsidRPr="000160C5" w:rsidRDefault="00895CD6" w:rsidP="00895CD6">
      <w:pPr>
        <w:pStyle w:val="TNR14"/>
        <w:rPr>
          <w:rFonts w:cs="Times New Roman"/>
          <w:szCs w:val="28"/>
          <w:lang w:val="ru-RU"/>
        </w:rPr>
      </w:pPr>
      <w:r w:rsidRPr="000160C5">
        <w:rPr>
          <w:rFonts w:cs="Times New Roman"/>
          <w:szCs w:val="28"/>
          <w:lang w:val="ru-RU"/>
        </w:rPr>
        <w:t>Одним из типичных нарушений эмитентов является неисполнение обязанности по раскрытию информации вовсе. Причиной тому может послужить</w:t>
      </w:r>
      <w:r w:rsidR="003F03B7" w:rsidRPr="000160C5">
        <w:rPr>
          <w:rFonts w:cs="Times New Roman"/>
          <w:szCs w:val="28"/>
          <w:lang w:val="ru-RU"/>
        </w:rPr>
        <w:t>,</w:t>
      </w:r>
      <w:r w:rsidRPr="000160C5">
        <w:rPr>
          <w:rFonts w:cs="Times New Roman"/>
          <w:szCs w:val="28"/>
          <w:lang w:val="ru-RU"/>
        </w:rPr>
        <w:t xml:space="preserve"> в том числе</w:t>
      </w:r>
      <w:r w:rsidR="003F03B7" w:rsidRPr="000160C5">
        <w:rPr>
          <w:rFonts w:cs="Times New Roman"/>
          <w:szCs w:val="28"/>
          <w:lang w:val="ru-RU"/>
        </w:rPr>
        <w:t>,</w:t>
      </w:r>
      <w:r w:rsidRPr="000160C5">
        <w:rPr>
          <w:rFonts w:cs="Times New Roman"/>
          <w:szCs w:val="28"/>
          <w:lang w:val="ru-RU"/>
        </w:rPr>
        <w:t xml:space="preserve"> неправильное отнесение эмитента к организациям, не обязанным раскрывать информацию.</w:t>
      </w:r>
    </w:p>
    <w:p w:rsidR="00EE6A93" w:rsidRPr="000160C5" w:rsidRDefault="002F79AC" w:rsidP="00895CD6">
      <w:pPr>
        <w:pStyle w:val="TNR14"/>
        <w:rPr>
          <w:rFonts w:cs="Times New Roman"/>
          <w:szCs w:val="28"/>
          <w:lang w:val="ru-RU"/>
        </w:rPr>
      </w:pPr>
      <w:r w:rsidRPr="000160C5">
        <w:rPr>
          <w:rFonts w:cs="Times New Roman"/>
          <w:szCs w:val="28"/>
          <w:lang w:val="ru-RU"/>
        </w:rPr>
        <w:lastRenderedPageBreak/>
        <w:t xml:space="preserve">Например, эмитент, созданный в порядке приватизации государственного предприятия, план приватизации которого предусматривал отчуждение </w:t>
      </w:r>
      <w:r w:rsidR="00121FCB" w:rsidRPr="000160C5">
        <w:rPr>
          <w:rFonts w:cs="Times New Roman"/>
          <w:szCs w:val="28"/>
          <w:lang w:val="ru-RU"/>
        </w:rPr>
        <w:t xml:space="preserve">акций </w:t>
      </w:r>
      <w:r w:rsidRPr="000160C5">
        <w:rPr>
          <w:rFonts w:cs="Times New Roman"/>
          <w:szCs w:val="28"/>
          <w:lang w:val="ru-RU"/>
        </w:rPr>
        <w:t>неограниченному кругу лиц, подпадает под требование раскрытия информации в форме ежеквартальных отчетов</w:t>
      </w:r>
      <w:r w:rsidR="005F1F6E">
        <w:rPr>
          <w:rFonts w:cs="Times New Roman"/>
          <w:szCs w:val="28"/>
          <w:lang w:val="ru-RU"/>
        </w:rPr>
        <w:t xml:space="preserve"> и сообщений о существенных фактах</w:t>
      </w:r>
      <w:r w:rsidRPr="000160C5">
        <w:rPr>
          <w:rFonts w:cs="Times New Roman"/>
          <w:szCs w:val="28"/>
          <w:lang w:val="ru-RU"/>
        </w:rPr>
        <w:t>. В случае сомнений относительно</w:t>
      </w:r>
      <w:r w:rsidR="000801B2" w:rsidRPr="000160C5">
        <w:rPr>
          <w:rFonts w:cs="Times New Roman"/>
          <w:szCs w:val="28"/>
          <w:lang w:val="ru-RU"/>
        </w:rPr>
        <w:t xml:space="preserve"> наличия указанной</w:t>
      </w:r>
      <w:r w:rsidRPr="000160C5">
        <w:rPr>
          <w:rFonts w:cs="Times New Roman"/>
          <w:szCs w:val="28"/>
          <w:lang w:val="ru-RU"/>
        </w:rPr>
        <w:t xml:space="preserve"> обязанности эмитент должен предпринять все от него зависящие </w:t>
      </w:r>
      <w:r w:rsidR="000801B2" w:rsidRPr="000160C5">
        <w:rPr>
          <w:rFonts w:cs="Times New Roman"/>
          <w:szCs w:val="28"/>
          <w:lang w:val="ru-RU"/>
        </w:rPr>
        <w:t>меры</w:t>
      </w:r>
      <w:r w:rsidRPr="000160C5">
        <w:rPr>
          <w:rFonts w:cs="Times New Roman"/>
          <w:szCs w:val="28"/>
          <w:lang w:val="ru-RU"/>
        </w:rPr>
        <w:t xml:space="preserve">, чтоб в дальнейшем не быть признанным виновным по смыслу ст. 2.1 КоАП. </w:t>
      </w:r>
      <w:r w:rsidR="00F5387D" w:rsidRPr="000160C5">
        <w:rPr>
          <w:rFonts w:cs="Times New Roman"/>
          <w:szCs w:val="28"/>
          <w:lang w:val="ru-RU"/>
        </w:rPr>
        <w:t xml:space="preserve">Как было отмечено выше, </w:t>
      </w:r>
      <w:r w:rsidRPr="000160C5">
        <w:rPr>
          <w:rFonts w:cs="Times New Roman"/>
          <w:szCs w:val="28"/>
          <w:lang w:val="ru-RU"/>
        </w:rPr>
        <w:t>эмитент может направить соответствующий запрос в региональное отделение ФСФР. Однако необходимо иметь в виду, что данное действие чревато штрафными санкциями в случае выявления у акционерного общества обязанности</w:t>
      </w:r>
      <w:r w:rsidR="00121FCB" w:rsidRPr="000160C5">
        <w:rPr>
          <w:rFonts w:cs="Times New Roman"/>
          <w:szCs w:val="28"/>
          <w:lang w:val="ru-RU"/>
        </w:rPr>
        <w:t xml:space="preserve"> раскрывать информацию</w:t>
      </w:r>
      <w:r w:rsidRPr="000160C5">
        <w:rPr>
          <w:rFonts w:cs="Times New Roman"/>
          <w:szCs w:val="28"/>
          <w:lang w:val="ru-RU"/>
        </w:rPr>
        <w:t xml:space="preserve"> и установления факта ее несоблюдения</w:t>
      </w:r>
      <w:r w:rsidRPr="000160C5">
        <w:rPr>
          <w:rStyle w:val="a9"/>
          <w:rFonts w:cs="Times New Roman"/>
          <w:szCs w:val="28"/>
          <w:lang w:val="ru-RU"/>
        </w:rPr>
        <w:footnoteReference w:id="59"/>
      </w:r>
      <w:r w:rsidRPr="000160C5">
        <w:rPr>
          <w:rFonts w:cs="Times New Roman"/>
          <w:szCs w:val="28"/>
          <w:lang w:val="ru-RU"/>
        </w:rPr>
        <w:t xml:space="preserve">. </w:t>
      </w:r>
    </w:p>
    <w:p w:rsidR="002F79AC" w:rsidRPr="000160C5" w:rsidRDefault="00EE6A93" w:rsidP="00895CD6">
      <w:pPr>
        <w:pStyle w:val="TNR14"/>
        <w:rPr>
          <w:rFonts w:cs="Times New Roman"/>
          <w:szCs w:val="28"/>
          <w:lang w:val="ru-RU"/>
        </w:rPr>
      </w:pPr>
      <w:r w:rsidRPr="000160C5">
        <w:rPr>
          <w:rFonts w:cs="Times New Roman"/>
          <w:szCs w:val="28"/>
          <w:lang w:val="ru-RU"/>
        </w:rPr>
        <w:t>Кроме</w:t>
      </w:r>
      <w:r w:rsidR="00121FCB" w:rsidRPr="000160C5">
        <w:rPr>
          <w:rFonts w:cs="Times New Roman"/>
          <w:szCs w:val="28"/>
          <w:lang w:val="ru-RU"/>
        </w:rPr>
        <w:t xml:space="preserve"> акционерных обществ,</w:t>
      </w:r>
      <w:r w:rsidRPr="000160C5">
        <w:rPr>
          <w:rFonts w:cs="Times New Roman"/>
          <w:szCs w:val="28"/>
          <w:lang w:val="ru-RU"/>
        </w:rPr>
        <w:t xml:space="preserve"> </w:t>
      </w:r>
      <w:r w:rsidR="00121FCB" w:rsidRPr="000160C5">
        <w:rPr>
          <w:rFonts w:cs="Times New Roman"/>
          <w:szCs w:val="28"/>
          <w:lang w:val="ru-RU"/>
        </w:rPr>
        <w:t>созданных в процессе приватизации</w:t>
      </w:r>
      <w:r w:rsidRPr="000160C5">
        <w:rPr>
          <w:rFonts w:cs="Times New Roman"/>
          <w:szCs w:val="28"/>
          <w:lang w:val="ru-RU"/>
        </w:rPr>
        <w:t xml:space="preserve">, в 90-е годы прошлого столетия существовало некоторое количество акционерных обществ закрытого типа, число акционеров которых превышало 500, и которые проводили закрытую </w:t>
      </w:r>
      <w:r w:rsidR="00121FCB" w:rsidRPr="000160C5">
        <w:rPr>
          <w:rFonts w:cs="Times New Roman"/>
          <w:szCs w:val="28"/>
          <w:lang w:val="ru-RU"/>
        </w:rPr>
        <w:t>подписку среди своих акционеров. Такие акционерные общества также</w:t>
      </w:r>
      <w:r w:rsidRPr="000160C5">
        <w:rPr>
          <w:rFonts w:cs="Times New Roman"/>
          <w:szCs w:val="28"/>
          <w:lang w:val="ru-RU"/>
        </w:rPr>
        <w:t xml:space="preserve"> </w:t>
      </w:r>
      <w:r w:rsidR="00121FCB" w:rsidRPr="000160C5">
        <w:rPr>
          <w:rFonts w:cs="Times New Roman"/>
          <w:szCs w:val="28"/>
          <w:lang w:val="ru-RU"/>
        </w:rPr>
        <w:t>подпадают под обязанность</w:t>
      </w:r>
      <w:r w:rsidRPr="000160C5">
        <w:rPr>
          <w:rFonts w:cs="Times New Roman"/>
          <w:szCs w:val="28"/>
          <w:lang w:val="ru-RU"/>
        </w:rPr>
        <w:t xml:space="preserve"> раскрывать информацию в форме ежеквартальных отчетов</w:t>
      </w:r>
      <w:r w:rsidR="00830C60">
        <w:rPr>
          <w:rFonts w:cs="Times New Roman"/>
          <w:szCs w:val="28"/>
          <w:lang w:val="ru-RU"/>
        </w:rPr>
        <w:t xml:space="preserve"> и сообщений о существенных фактах</w:t>
      </w:r>
      <w:r w:rsidRPr="000160C5">
        <w:rPr>
          <w:rFonts w:cs="Times New Roman"/>
          <w:szCs w:val="28"/>
          <w:lang w:val="ru-RU"/>
        </w:rPr>
        <w:t xml:space="preserve">.  </w:t>
      </w:r>
    </w:p>
    <w:p w:rsidR="002E4D79" w:rsidRPr="000160C5" w:rsidRDefault="002E4D79" w:rsidP="00895CD6">
      <w:pPr>
        <w:pStyle w:val="TNR14"/>
        <w:rPr>
          <w:rFonts w:cs="Times New Roman"/>
          <w:szCs w:val="28"/>
          <w:lang w:val="ru-RU"/>
        </w:rPr>
      </w:pPr>
      <w:r w:rsidRPr="000160C5">
        <w:rPr>
          <w:rFonts w:cs="Times New Roman"/>
          <w:szCs w:val="28"/>
          <w:lang w:val="ru-RU"/>
        </w:rPr>
        <w:t xml:space="preserve">Стоит отметить, что в случае «неосведомленности» эмитента о наличии у него обязанности раскрывать информацию </w:t>
      </w:r>
      <w:r w:rsidR="00121FCB" w:rsidRPr="000160C5">
        <w:rPr>
          <w:rFonts w:cs="Times New Roman"/>
          <w:szCs w:val="28"/>
          <w:lang w:val="ru-RU"/>
        </w:rPr>
        <w:t xml:space="preserve">правоприменительным органом </w:t>
      </w:r>
      <w:r w:rsidRPr="000160C5">
        <w:rPr>
          <w:rFonts w:cs="Times New Roman"/>
          <w:szCs w:val="28"/>
          <w:lang w:val="ru-RU"/>
        </w:rPr>
        <w:t>должн</w:t>
      </w:r>
      <w:r w:rsidR="004347A3" w:rsidRPr="000160C5">
        <w:rPr>
          <w:rFonts w:cs="Times New Roman"/>
          <w:szCs w:val="28"/>
          <w:lang w:val="ru-RU"/>
        </w:rPr>
        <w:t>о</w:t>
      </w:r>
      <w:r w:rsidRPr="000160C5">
        <w:rPr>
          <w:rFonts w:cs="Times New Roman"/>
          <w:szCs w:val="28"/>
          <w:lang w:val="ru-RU"/>
        </w:rPr>
        <w:t xml:space="preserve"> быть принят</w:t>
      </w:r>
      <w:r w:rsidR="004347A3" w:rsidRPr="000160C5">
        <w:rPr>
          <w:rFonts w:cs="Times New Roman"/>
          <w:szCs w:val="28"/>
          <w:lang w:val="ru-RU"/>
        </w:rPr>
        <w:t>о</w:t>
      </w:r>
      <w:r w:rsidRPr="000160C5">
        <w:rPr>
          <w:rFonts w:cs="Times New Roman"/>
          <w:szCs w:val="28"/>
          <w:lang w:val="ru-RU"/>
        </w:rPr>
        <w:t xml:space="preserve"> во внимание так</w:t>
      </w:r>
      <w:r w:rsidR="00121FCB" w:rsidRPr="000160C5">
        <w:rPr>
          <w:rFonts w:cs="Times New Roman"/>
          <w:szCs w:val="28"/>
          <w:lang w:val="ru-RU"/>
        </w:rPr>
        <w:t>о</w:t>
      </w:r>
      <w:r w:rsidRPr="000160C5">
        <w:rPr>
          <w:rFonts w:cs="Times New Roman"/>
          <w:szCs w:val="28"/>
          <w:lang w:val="ru-RU"/>
        </w:rPr>
        <w:t>е обстоятельств</w:t>
      </w:r>
      <w:r w:rsidR="00121FCB" w:rsidRPr="000160C5">
        <w:rPr>
          <w:rFonts w:cs="Times New Roman"/>
          <w:szCs w:val="28"/>
          <w:lang w:val="ru-RU"/>
        </w:rPr>
        <w:t>о</w:t>
      </w:r>
      <w:r w:rsidRPr="000160C5">
        <w:rPr>
          <w:rFonts w:cs="Times New Roman"/>
          <w:szCs w:val="28"/>
          <w:lang w:val="ru-RU"/>
        </w:rPr>
        <w:t xml:space="preserve">, как </w:t>
      </w:r>
      <w:r w:rsidR="00121FCB" w:rsidRPr="000160C5">
        <w:rPr>
          <w:rFonts w:cs="Times New Roman"/>
          <w:szCs w:val="28"/>
          <w:lang w:val="ru-RU"/>
        </w:rPr>
        <w:t>неоднократность</w:t>
      </w:r>
      <w:r w:rsidRPr="000160C5">
        <w:rPr>
          <w:rFonts w:cs="Times New Roman"/>
          <w:szCs w:val="28"/>
          <w:lang w:val="ru-RU"/>
        </w:rPr>
        <w:t xml:space="preserve"> правонарушения.</w:t>
      </w:r>
    </w:p>
    <w:p w:rsidR="002E4D79" w:rsidRPr="000160C5" w:rsidRDefault="002E4D79" w:rsidP="002E4D79">
      <w:pPr>
        <w:pStyle w:val="TNR14"/>
        <w:rPr>
          <w:rFonts w:cs="Times New Roman"/>
          <w:szCs w:val="28"/>
          <w:lang w:val="ru-RU"/>
        </w:rPr>
      </w:pPr>
      <w:r w:rsidRPr="000160C5">
        <w:rPr>
          <w:rFonts w:cs="Times New Roman"/>
          <w:szCs w:val="28"/>
          <w:lang w:val="ru-RU"/>
        </w:rPr>
        <w:t xml:space="preserve">Для иллюстрации </w:t>
      </w:r>
      <w:r w:rsidR="004347A3" w:rsidRPr="000160C5">
        <w:rPr>
          <w:rFonts w:cs="Times New Roman"/>
          <w:szCs w:val="28"/>
          <w:lang w:val="ru-RU"/>
        </w:rPr>
        <w:t xml:space="preserve">рассмотрим </w:t>
      </w:r>
      <w:r w:rsidRPr="000160C5">
        <w:rPr>
          <w:rFonts w:cs="Times New Roman"/>
          <w:szCs w:val="28"/>
          <w:lang w:val="ru-RU"/>
        </w:rPr>
        <w:t>пример. ОАО «Уральский научно-технологический комплекс»</w:t>
      </w:r>
      <w:r w:rsidR="000801B2" w:rsidRPr="000160C5">
        <w:rPr>
          <w:rFonts w:cs="Times New Roman"/>
          <w:szCs w:val="28"/>
          <w:lang w:val="ru-RU"/>
        </w:rPr>
        <w:t xml:space="preserve"> был</w:t>
      </w:r>
      <w:r w:rsidR="004347A3" w:rsidRPr="000160C5">
        <w:rPr>
          <w:rFonts w:cs="Times New Roman"/>
          <w:szCs w:val="28"/>
          <w:lang w:val="ru-RU"/>
        </w:rPr>
        <w:t>о</w:t>
      </w:r>
      <w:r w:rsidR="000801B2" w:rsidRPr="000160C5">
        <w:rPr>
          <w:rFonts w:cs="Times New Roman"/>
          <w:szCs w:val="28"/>
          <w:lang w:val="ru-RU"/>
        </w:rPr>
        <w:t xml:space="preserve"> </w:t>
      </w:r>
      <w:r w:rsidRPr="000160C5">
        <w:rPr>
          <w:rFonts w:cs="Times New Roman"/>
          <w:szCs w:val="28"/>
          <w:lang w:val="ru-RU"/>
        </w:rPr>
        <w:t>создан</w:t>
      </w:r>
      <w:r w:rsidR="004347A3" w:rsidRPr="000160C5">
        <w:rPr>
          <w:rFonts w:cs="Times New Roman"/>
          <w:szCs w:val="28"/>
          <w:lang w:val="ru-RU"/>
        </w:rPr>
        <w:t>о</w:t>
      </w:r>
      <w:r w:rsidRPr="000160C5">
        <w:rPr>
          <w:rFonts w:cs="Times New Roman"/>
          <w:szCs w:val="28"/>
          <w:lang w:val="ru-RU"/>
        </w:rPr>
        <w:t xml:space="preserve"> при приватизации государственного предприятия, план приватизации которого предусматривал возможность отчуждения акций эмитента путем свободной продажи на чековом аукционе, то есть для неограниченного круга лиц (распоряжение Госкомимущества России от 06.10.1994 № 2469-р). Таким образом, на </w:t>
      </w:r>
      <w:r w:rsidRPr="000160C5">
        <w:rPr>
          <w:rFonts w:cs="Times New Roman"/>
          <w:szCs w:val="28"/>
          <w:lang w:val="ru-RU"/>
        </w:rPr>
        <w:lastRenderedPageBreak/>
        <w:t>основании</w:t>
      </w:r>
      <w:r w:rsidR="000801B2" w:rsidRPr="000160C5">
        <w:rPr>
          <w:rFonts w:cs="Times New Roman"/>
          <w:szCs w:val="28"/>
          <w:lang w:val="ru-RU"/>
        </w:rPr>
        <w:t xml:space="preserve"> </w:t>
      </w:r>
      <w:r w:rsidR="00635A79" w:rsidRPr="000160C5">
        <w:rPr>
          <w:rFonts w:cs="Times New Roman"/>
          <w:szCs w:val="28"/>
          <w:lang w:val="ru-RU"/>
        </w:rPr>
        <w:t xml:space="preserve">ныне </w:t>
      </w:r>
      <w:r w:rsidR="000801B2" w:rsidRPr="000160C5">
        <w:rPr>
          <w:rFonts w:cs="Times New Roman"/>
          <w:szCs w:val="28"/>
          <w:lang w:val="ru-RU"/>
        </w:rPr>
        <w:t>утратившего силу</w:t>
      </w:r>
      <w:r w:rsidRPr="000160C5">
        <w:rPr>
          <w:rFonts w:cs="Times New Roman"/>
          <w:szCs w:val="28"/>
          <w:lang w:val="ru-RU"/>
        </w:rPr>
        <w:t xml:space="preserve"> Положения о раскрытии информации </w:t>
      </w:r>
      <w:r w:rsidR="000801B2" w:rsidRPr="000160C5">
        <w:rPr>
          <w:rFonts w:cs="Times New Roman"/>
          <w:szCs w:val="28"/>
          <w:lang w:val="ru-RU"/>
        </w:rPr>
        <w:t>2006 года</w:t>
      </w:r>
      <w:r w:rsidR="000801B2" w:rsidRPr="000160C5">
        <w:rPr>
          <w:rStyle w:val="a9"/>
          <w:rFonts w:cs="Times New Roman"/>
          <w:szCs w:val="28"/>
          <w:lang w:val="ru-RU"/>
        </w:rPr>
        <w:footnoteReference w:id="60"/>
      </w:r>
      <w:r w:rsidR="000801B2" w:rsidRPr="000160C5">
        <w:rPr>
          <w:rFonts w:cs="Times New Roman"/>
          <w:szCs w:val="28"/>
          <w:lang w:val="ru-RU"/>
        </w:rPr>
        <w:t xml:space="preserve"> </w:t>
      </w:r>
      <w:r w:rsidRPr="000160C5">
        <w:rPr>
          <w:rFonts w:cs="Times New Roman"/>
          <w:szCs w:val="28"/>
          <w:lang w:val="ru-RU"/>
        </w:rPr>
        <w:t>общество подпада</w:t>
      </w:r>
      <w:r w:rsidR="00635A79" w:rsidRPr="000160C5">
        <w:rPr>
          <w:rFonts w:cs="Times New Roman"/>
          <w:szCs w:val="28"/>
          <w:lang w:val="ru-RU"/>
        </w:rPr>
        <w:t>ло</w:t>
      </w:r>
      <w:r w:rsidRPr="000160C5">
        <w:rPr>
          <w:rFonts w:cs="Times New Roman"/>
          <w:szCs w:val="28"/>
          <w:lang w:val="ru-RU"/>
        </w:rPr>
        <w:t xml:space="preserve"> под обязанность раскрывать информацию в форме ежеквартальных отчетов. </w:t>
      </w:r>
    </w:p>
    <w:p w:rsidR="001E202B" w:rsidRPr="000160C5" w:rsidRDefault="001E202B" w:rsidP="002E4D79">
      <w:pPr>
        <w:pStyle w:val="TNR14"/>
        <w:rPr>
          <w:rFonts w:cs="Times New Roman"/>
          <w:szCs w:val="28"/>
          <w:lang w:val="ru-RU"/>
        </w:rPr>
      </w:pPr>
      <w:r w:rsidRPr="000160C5">
        <w:rPr>
          <w:rFonts w:cs="Times New Roman"/>
          <w:szCs w:val="28"/>
          <w:lang w:val="ru-RU"/>
        </w:rPr>
        <w:t xml:space="preserve">Однако за четвертый квартал 2008 года общество не раскрыло информацию в форме ежеквартального отчета, за что было привлечено к административной ответственности региональным отделением ФСФР. Эмитент обратился в суд с оспариванием ненормативного акта ФСФР, дело дошло до кассации, </w:t>
      </w:r>
      <w:r w:rsidR="00635A79" w:rsidRPr="000160C5">
        <w:rPr>
          <w:rFonts w:cs="Times New Roman"/>
          <w:szCs w:val="28"/>
          <w:lang w:val="ru-RU"/>
        </w:rPr>
        <w:t xml:space="preserve">и </w:t>
      </w:r>
      <w:r w:rsidRPr="000160C5">
        <w:rPr>
          <w:rFonts w:cs="Times New Roman"/>
          <w:szCs w:val="28"/>
          <w:lang w:val="ru-RU"/>
        </w:rPr>
        <w:t>все три инстанции отказали в удовлетворении требований заявителя</w:t>
      </w:r>
      <w:r w:rsidR="00635A79" w:rsidRPr="000160C5">
        <w:rPr>
          <w:rStyle w:val="a9"/>
          <w:rFonts w:cs="Times New Roman"/>
          <w:szCs w:val="28"/>
          <w:lang w:val="ru-RU"/>
        </w:rPr>
        <w:footnoteReference w:id="61"/>
      </w:r>
      <w:r w:rsidRPr="000160C5">
        <w:rPr>
          <w:rFonts w:cs="Times New Roman"/>
          <w:szCs w:val="28"/>
          <w:lang w:val="ru-RU"/>
        </w:rPr>
        <w:t xml:space="preserve">. </w:t>
      </w:r>
    </w:p>
    <w:p w:rsidR="001E202B" w:rsidRPr="000160C5" w:rsidRDefault="001E202B" w:rsidP="002E4D79">
      <w:pPr>
        <w:pStyle w:val="TNR14"/>
        <w:rPr>
          <w:rFonts w:cs="Times New Roman"/>
          <w:szCs w:val="28"/>
          <w:lang w:val="ru-RU"/>
        </w:rPr>
      </w:pPr>
      <w:r w:rsidRPr="000160C5">
        <w:rPr>
          <w:rFonts w:cs="Times New Roman"/>
          <w:szCs w:val="28"/>
          <w:lang w:val="ru-RU"/>
        </w:rPr>
        <w:t xml:space="preserve">Спустя несколько месяцев в рамках проверки </w:t>
      </w:r>
      <w:r w:rsidR="00635A79" w:rsidRPr="000160C5">
        <w:rPr>
          <w:rFonts w:cs="Times New Roman"/>
          <w:szCs w:val="28"/>
          <w:lang w:val="ru-RU"/>
        </w:rPr>
        <w:t xml:space="preserve">ФСФР </w:t>
      </w:r>
      <w:r w:rsidRPr="000160C5">
        <w:rPr>
          <w:rFonts w:cs="Times New Roman"/>
          <w:szCs w:val="28"/>
          <w:lang w:val="ru-RU"/>
        </w:rPr>
        <w:t>снова было выявлено нарушение эмитентом требований по раскрытию</w:t>
      </w:r>
      <w:r w:rsidR="004347A3" w:rsidRPr="000160C5">
        <w:rPr>
          <w:rFonts w:cs="Times New Roman"/>
          <w:szCs w:val="28"/>
          <w:lang w:val="ru-RU"/>
        </w:rPr>
        <w:t xml:space="preserve"> информации</w:t>
      </w:r>
      <w:r w:rsidRPr="000160C5">
        <w:rPr>
          <w:rFonts w:cs="Times New Roman"/>
          <w:szCs w:val="28"/>
          <w:lang w:val="ru-RU"/>
        </w:rPr>
        <w:t>: не был представлен ежеквартальный отчет за первый квартал 2009 года. Сценарий развивался тем же образом: привлечение</w:t>
      </w:r>
      <w:r w:rsidR="00133DDE" w:rsidRPr="000160C5">
        <w:rPr>
          <w:rFonts w:cs="Times New Roman"/>
          <w:szCs w:val="28"/>
          <w:lang w:val="ru-RU"/>
        </w:rPr>
        <w:t xml:space="preserve"> эмитента</w:t>
      </w:r>
      <w:r w:rsidRPr="000160C5">
        <w:rPr>
          <w:rFonts w:cs="Times New Roman"/>
          <w:szCs w:val="28"/>
          <w:lang w:val="ru-RU"/>
        </w:rPr>
        <w:t xml:space="preserve"> к административной ответственности на основании ч. 2 ст. 15.19 КоАП, обращение эмитента в суд с требованием об отмене</w:t>
      </w:r>
      <w:r w:rsidR="00635A79" w:rsidRPr="000160C5">
        <w:rPr>
          <w:rFonts w:cs="Times New Roman"/>
          <w:szCs w:val="28"/>
          <w:lang w:val="ru-RU"/>
        </w:rPr>
        <w:t xml:space="preserve"> постановления о привлечении к ответственности</w:t>
      </w:r>
      <w:r w:rsidRPr="000160C5">
        <w:rPr>
          <w:rFonts w:cs="Times New Roman"/>
          <w:szCs w:val="28"/>
          <w:lang w:val="ru-RU"/>
        </w:rPr>
        <w:t xml:space="preserve">, прохождение дела через все инстанции </w:t>
      </w:r>
      <w:r w:rsidR="00635A79" w:rsidRPr="000160C5">
        <w:rPr>
          <w:rFonts w:cs="Times New Roman"/>
          <w:szCs w:val="28"/>
          <w:lang w:val="ru-RU"/>
        </w:rPr>
        <w:t>вплоть</w:t>
      </w:r>
      <w:r w:rsidRPr="000160C5">
        <w:rPr>
          <w:rFonts w:cs="Times New Roman"/>
          <w:szCs w:val="28"/>
          <w:lang w:val="ru-RU"/>
        </w:rPr>
        <w:t xml:space="preserve"> до ВАС РФ. Исход тот же: все инстанции в удовлетворении требований</w:t>
      </w:r>
      <w:r w:rsidR="00635A79" w:rsidRPr="000160C5">
        <w:rPr>
          <w:rFonts w:cs="Times New Roman"/>
          <w:szCs w:val="28"/>
          <w:lang w:val="ru-RU"/>
        </w:rPr>
        <w:t xml:space="preserve"> заявителя</w:t>
      </w:r>
      <w:r w:rsidRPr="000160C5">
        <w:rPr>
          <w:rFonts w:cs="Times New Roman"/>
          <w:szCs w:val="28"/>
          <w:lang w:val="ru-RU"/>
        </w:rPr>
        <w:t xml:space="preserve"> отказали</w:t>
      </w:r>
      <w:r w:rsidR="00635A79" w:rsidRPr="000160C5">
        <w:rPr>
          <w:rStyle w:val="a9"/>
          <w:rFonts w:cs="Times New Roman"/>
          <w:szCs w:val="28"/>
          <w:lang w:val="ru-RU"/>
        </w:rPr>
        <w:footnoteReference w:id="62"/>
      </w:r>
      <w:r w:rsidRPr="000160C5">
        <w:rPr>
          <w:rFonts w:cs="Times New Roman"/>
          <w:szCs w:val="28"/>
          <w:lang w:val="ru-RU"/>
        </w:rPr>
        <w:t xml:space="preserve">. </w:t>
      </w:r>
    </w:p>
    <w:p w:rsidR="00541B52" w:rsidRPr="000160C5" w:rsidRDefault="001E202B" w:rsidP="001E202B">
      <w:pPr>
        <w:pStyle w:val="TNR14"/>
        <w:rPr>
          <w:rFonts w:cs="Times New Roman"/>
          <w:szCs w:val="28"/>
          <w:lang w:val="ru-RU"/>
        </w:rPr>
      </w:pPr>
      <w:r w:rsidRPr="000160C5">
        <w:rPr>
          <w:rFonts w:cs="Times New Roman"/>
          <w:szCs w:val="28"/>
          <w:lang w:val="ru-RU"/>
        </w:rPr>
        <w:t xml:space="preserve">Примечательным во втором судебном деле было то, что эмитент снова строил свою линию защиты на отсутствии </w:t>
      </w:r>
      <w:r w:rsidR="00121FCB" w:rsidRPr="000160C5">
        <w:rPr>
          <w:rFonts w:cs="Times New Roman"/>
          <w:szCs w:val="28"/>
          <w:lang w:val="ru-RU"/>
        </w:rPr>
        <w:t>у него обязанности</w:t>
      </w:r>
      <w:r w:rsidRPr="000160C5">
        <w:rPr>
          <w:rFonts w:cs="Times New Roman"/>
          <w:szCs w:val="28"/>
          <w:lang w:val="ru-RU"/>
        </w:rPr>
        <w:t xml:space="preserve"> по раскрытию информации вопреки тому, что за несколько месяцев до этого эмитент уже был привлечен к административной ответственности по тому же составу. Суд указал на не</w:t>
      </w:r>
      <w:r w:rsidR="003E371C" w:rsidRPr="000160C5">
        <w:rPr>
          <w:rFonts w:cs="Times New Roman"/>
          <w:szCs w:val="28"/>
          <w:lang w:val="ru-RU"/>
        </w:rPr>
        <w:t>-</w:t>
      </w:r>
      <w:r w:rsidRPr="000160C5">
        <w:rPr>
          <w:rFonts w:cs="Times New Roman"/>
          <w:szCs w:val="28"/>
          <w:lang w:val="ru-RU"/>
        </w:rPr>
        <w:t>единичность нарушения: неоднократное нарушение требований законодательства, касающ</w:t>
      </w:r>
      <w:r w:rsidR="004347A3" w:rsidRPr="000160C5">
        <w:rPr>
          <w:rFonts w:cs="Times New Roman"/>
          <w:szCs w:val="28"/>
          <w:lang w:val="ru-RU"/>
        </w:rPr>
        <w:t>их</w:t>
      </w:r>
      <w:r w:rsidRPr="000160C5">
        <w:rPr>
          <w:rFonts w:cs="Times New Roman"/>
          <w:szCs w:val="28"/>
          <w:lang w:val="ru-RU"/>
        </w:rPr>
        <w:t>ся представления и раскрытия информации на рынке ценных бумаг, в течение</w:t>
      </w:r>
      <w:r w:rsidR="004347A3" w:rsidRPr="000160C5">
        <w:rPr>
          <w:rFonts w:cs="Times New Roman"/>
          <w:szCs w:val="28"/>
          <w:lang w:val="ru-RU"/>
        </w:rPr>
        <w:t xml:space="preserve"> одного</w:t>
      </w:r>
      <w:r w:rsidRPr="000160C5">
        <w:rPr>
          <w:rFonts w:cs="Times New Roman"/>
          <w:szCs w:val="28"/>
          <w:lang w:val="ru-RU"/>
        </w:rPr>
        <w:t xml:space="preserve"> года не позволяет суду квалифицировать рассматриваемое в настоящем деле правонарушение в качестве малозначительного</w:t>
      </w:r>
      <w:r w:rsidR="00133DDE" w:rsidRPr="000160C5">
        <w:rPr>
          <w:rStyle w:val="a9"/>
          <w:rFonts w:cs="Times New Roman"/>
          <w:szCs w:val="28"/>
          <w:lang w:val="ru-RU"/>
        </w:rPr>
        <w:footnoteReference w:id="63"/>
      </w:r>
      <w:r w:rsidRPr="000160C5">
        <w:rPr>
          <w:rFonts w:cs="Times New Roman"/>
          <w:szCs w:val="28"/>
          <w:lang w:val="ru-RU"/>
        </w:rPr>
        <w:t>.</w:t>
      </w:r>
    </w:p>
    <w:p w:rsidR="00121FCB" w:rsidRPr="000160C5" w:rsidRDefault="0017277B" w:rsidP="001E202B">
      <w:pPr>
        <w:pStyle w:val="TNR14"/>
        <w:rPr>
          <w:rFonts w:cs="Times New Roman"/>
          <w:szCs w:val="28"/>
          <w:lang w:val="ru-RU"/>
        </w:rPr>
      </w:pPr>
      <w:r w:rsidRPr="000160C5">
        <w:rPr>
          <w:rFonts w:cs="Times New Roman"/>
          <w:szCs w:val="28"/>
          <w:lang w:val="ru-RU"/>
        </w:rPr>
        <w:lastRenderedPageBreak/>
        <w:t xml:space="preserve">Приведенный пример позволяет продемонстрировать повторяемость </w:t>
      </w:r>
      <w:r w:rsidR="0015595B" w:rsidRPr="000160C5">
        <w:rPr>
          <w:rFonts w:cs="Times New Roman"/>
          <w:szCs w:val="28"/>
          <w:lang w:val="ru-RU"/>
        </w:rPr>
        <w:t xml:space="preserve">совершения </w:t>
      </w:r>
      <w:r w:rsidRPr="000160C5">
        <w:rPr>
          <w:rFonts w:cs="Times New Roman"/>
          <w:szCs w:val="28"/>
          <w:lang w:val="ru-RU"/>
        </w:rPr>
        <w:t>рассматриваемого административного правонарушения</w:t>
      </w:r>
      <w:r w:rsidR="0015595B" w:rsidRPr="000160C5">
        <w:rPr>
          <w:rFonts w:cs="Times New Roman"/>
          <w:szCs w:val="28"/>
          <w:lang w:val="ru-RU"/>
        </w:rPr>
        <w:t xml:space="preserve"> одним и тем же эмитентом, а также уровень </w:t>
      </w:r>
      <w:r w:rsidRPr="000160C5">
        <w:rPr>
          <w:rFonts w:cs="Times New Roman"/>
          <w:szCs w:val="28"/>
          <w:lang w:val="ru-RU"/>
        </w:rPr>
        <w:t>эффективност</w:t>
      </w:r>
      <w:r w:rsidR="0015595B" w:rsidRPr="000160C5">
        <w:rPr>
          <w:rFonts w:cs="Times New Roman"/>
          <w:szCs w:val="28"/>
          <w:lang w:val="ru-RU"/>
        </w:rPr>
        <w:t>и</w:t>
      </w:r>
      <w:r w:rsidRPr="000160C5">
        <w:rPr>
          <w:rFonts w:cs="Times New Roman"/>
          <w:szCs w:val="28"/>
          <w:lang w:val="ru-RU"/>
        </w:rPr>
        <w:t xml:space="preserve"> предусмотренных законодательством</w:t>
      </w:r>
      <w:r w:rsidR="0015595B" w:rsidRPr="000160C5">
        <w:rPr>
          <w:rFonts w:cs="Times New Roman"/>
          <w:szCs w:val="28"/>
          <w:lang w:val="ru-RU"/>
        </w:rPr>
        <w:t xml:space="preserve"> Российской Федерации</w:t>
      </w:r>
      <w:r w:rsidRPr="000160C5">
        <w:rPr>
          <w:rFonts w:cs="Times New Roman"/>
          <w:szCs w:val="28"/>
          <w:lang w:val="ru-RU"/>
        </w:rPr>
        <w:t xml:space="preserve"> мер по предотвращению подобных нарушений.</w:t>
      </w:r>
      <w:r w:rsidR="0063550D" w:rsidRPr="000160C5">
        <w:rPr>
          <w:rFonts w:cs="Times New Roman"/>
          <w:szCs w:val="28"/>
          <w:lang w:val="ru-RU"/>
        </w:rPr>
        <w:t xml:space="preserve"> Штраф, установленный КоАП, на момент рассмотрения дела составлял </w:t>
      </w:r>
      <w:r w:rsidR="000C6C89" w:rsidRPr="000160C5">
        <w:rPr>
          <w:rFonts w:cs="Times New Roman"/>
          <w:szCs w:val="28"/>
          <w:lang w:val="ru-RU"/>
        </w:rPr>
        <w:t xml:space="preserve">от </w:t>
      </w:r>
      <w:r w:rsidR="0063550D" w:rsidRPr="000160C5">
        <w:rPr>
          <w:rFonts w:cs="Times New Roman"/>
          <w:szCs w:val="28"/>
          <w:lang w:val="ru-RU"/>
        </w:rPr>
        <w:t xml:space="preserve">30 </w:t>
      </w:r>
      <w:r w:rsidR="000C6C89" w:rsidRPr="000160C5">
        <w:rPr>
          <w:rFonts w:cs="Times New Roman"/>
          <w:szCs w:val="28"/>
          <w:lang w:val="ru-RU"/>
        </w:rPr>
        <w:t xml:space="preserve">до 40 </w:t>
      </w:r>
      <w:r w:rsidR="0063550D" w:rsidRPr="000160C5">
        <w:rPr>
          <w:rFonts w:cs="Times New Roman"/>
          <w:szCs w:val="28"/>
          <w:lang w:val="ru-RU"/>
        </w:rPr>
        <w:t xml:space="preserve">тысяч рублей. В текущей редакции КоАП размер штрафа доходит до 1 миллиона рублей. Однако данная сумма не является критичной для бюджета </w:t>
      </w:r>
      <w:r w:rsidR="000C6C89" w:rsidRPr="000160C5">
        <w:rPr>
          <w:rFonts w:cs="Times New Roman"/>
          <w:szCs w:val="28"/>
          <w:lang w:val="ru-RU"/>
        </w:rPr>
        <w:t>не самой крупной</w:t>
      </w:r>
      <w:r w:rsidR="0063550D" w:rsidRPr="000160C5">
        <w:rPr>
          <w:rFonts w:cs="Times New Roman"/>
          <w:szCs w:val="28"/>
          <w:lang w:val="ru-RU"/>
        </w:rPr>
        <w:t xml:space="preserve"> корпорации, а потому угроза наказания не носит в этом случае характера устрашения с целью предупреждения нарушения. </w:t>
      </w:r>
      <w:r w:rsidRPr="000160C5">
        <w:rPr>
          <w:rFonts w:cs="Times New Roman"/>
          <w:szCs w:val="28"/>
          <w:lang w:val="ru-RU"/>
        </w:rPr>
        <w:t xml:space="preserve">    </w:t>
      </w:r>
      <w:r w:rsidR="00B50AF8" w:rsidRPr="000160C5">
        <w:rPr>
          <w:rFonts w:cs="Times New Roman"/>
          <w:szCs w:val="28"/>
          <w:lang w:val="ru-RU"/>
        </w:rPr>
        <w:t xml:space="preserve"> </w:t>
      </w:r>
      <w:r w:rsidR="00541B52" w:rsidRPr="000160C5">
        <w:rPr>
          <w:rFonts w:cs="Times New Roman"/>
          <w:szCs w:val="28"/>
          <w:lang w:val="ru-RU"/>
        </w:rPr>
        <w:t xml:space="preserve">     </w:t>
      </w:r>
      <w:r w:rsidR="001E202B" w:rsidRPr="000160C5">
        <w:rPr>
          <w:rFonts w:cs="Times New Roman"/>
          <w:szCs w:val="28"/>
          <w:lang w:val="ru-RU"/>
        </w:rPr>
        <w:t xml:space="preserve"> </w:t>
      </w:r>
    </w:p>
    <w:p w:rsidR="004347A3" w:rsidRPr="000160C5" w:rsidRDefault="005261AF" w:rsidP="001E202B">
      <w:pPr>
        <w:pStyle w:val="TNR14"/>
        <w:rPr>
          <w:rFonts w:cs="Times New Roman"/>
          <w:szCs w:val="28"/>
          <w:lang w:val="ru-RU"/>
        </w:rPr>
      </w:pPr>
      <w:r w:rsidRPr="000160C5">
        <w:rPr>
          <w:rFonts w:cs="Times New Roman"/>
          <w:szCs w:val="28"/>
          <w:lang w:val="ru-RU"/>
        </w:rPr>
        <w:t>В США в случае неисполнения обязанности по раскрытию периодических отчетов (как предусмотрено п. 13а Закона о торговле ценными бумагами</w:t>
      </w:r>
      <w:r w:rsidR="00FA243C" w:rsidRPr="000160C5">
        <w:rPr>
          <w:rFonts w:cs="Times New Roman"/>
          <w:szCs w:val="28"/>
          <w:lang w:val="ru-RU"/>
        </w:rPr>
        <w:t xml:space="preserve"> 1934 года)</w:t>
      </w:r>
      <w:r w:rsidR="001E202B" w:rsidRPr="000160C5">
        <w:rPr>
          <w:rFonts w:cs="Times New Roman"/>
          <w:szCs w:val="28"/>
          <w:lang w:val="ru-RU"/>
        </w:rPr>
        <w:t xml:space="preserve"> </w:t>
      </w:r>
      <w:r w:rsidR="00FA243C" w:rsidRPr="000160C5">
        <w:rPr>
          <w:rFonts w:cs="Times New Roman"/>
          <w:szCs w:val="28"/>
          <w:lang w:val="ru-RU"/>
        </w:rPr>
        <w:t xml:space="preserve">эмитентом, который обязан раскрывать такую информацию, против </w:t>
      </w:r>
      <w:r w:rsidR="00A75F1E" w:rsidRPr="000160C5">
        <w:rPr>
          <w:rFonts w:cs="Times New Roman"/>
          <w:szCs w:val="28"/>
          <w:lang w:val="ru-RU"/>
        </w:rPr>
        <w:t>него</w:t>
      </w:r>
      <w:r w:rsidR="00FA243C" w:rsidRPr="000160C5">
        <w:rPr>
          <w:rFonts w:cs="Times New Roman"/>
          <w:szCs w:val="28"/>
          <w:lang w:val="ru-RU"/>
        </w:rPr>
        <w:t xml:space="preserve"> возбуждается административное производство. </w:t>
      </w:r>
    </w:p>
    <w:p w:rsidR="001E202B" w:rsidRPr="000160C5" w:rsidRDefault="00FA243C" w:rsidP="001E202B">
      <w:pPr>
        <w:pStyle w:val="TNR14"/>
        <w:rPr>
          <w:rFonts w:cs="Times New Roman"/>
          <w:szCs w:val="28"/>
          <w:lang w:val="ru-RU"/>
        </w:rPr>
      </w:pPr>
      <w:r w:rsidRPr="000160C5">
        <w:rPr>
          <w:rFonts w:cs="Times New Roman"/>
          <w:szCs w:val="28"/>
          <w:lang w:val="ru-RU"/>
        </w:rPr>
        <w:t>На основе проанализированных административных постановлений Комиссии США</w:t>
      </w:r>
      <w:r w:rsidR="008C7FCB" w:rsidRPr="000160C5">
        <w:rPr>
          <w:rStyle w:val="a9"/>
          <w:rFonts w:cs="Times New Roman"/>
          <w:szCs w:val="28"/>
          <w:lang w:val="ru-RU"/>
        </w:rPr>
        <w:footnoteReference w:id="64"/>
      </w:r>
      <w:r w:rsidRPr="000160C5">
        <w:rPr>
          <w:rFonts w:cs="Times New Roman"/>
          <w:szCs w:val="28"/>
          <w:lang w:val="ru-RU"/>
        </w:rPr>
        <w:t xml:space="preserve"> автором был сделан вывод о том, что наиболее распространенной санкцией</w:t>
      </w:r>
      <w:r w:rsidR="004347A3" w:rsidRPr="000160C5">
        <w:rPr>
          <w:rFonts w:cs="Times New Roman"/>
          <w:szCs w:val="28"/>
          <w:lang w:val="ru-RU"/>
        </w:rPr>
        <w:t>, применяем</w:t>
      </w:r>
      <w:r w:rsidR="00C74C17" w:rsidRPr="000160C5">
        <w:rPr>
          <w:rFonts w:cs="Times New Roman"/>
          <w:szCs w:val="28"/>
          <w:lang w:val="ru-RU"/>
        </w:rPr>
        <w:t>ой</w:t>
      </w:r>
      <w:r w:rsidR="004347A3" w:rsidRPr="000160C5">
        <w:rPr>
          <w:rFonts w:cs="Times New Roman"/>
          <w:szCs w:val="28"/>
          <w:lang w:val="ru-RU"/>
        </w:rPr>
        <w:t xml:space="preserve"> к </w:t>
      </w:r>
      <w:r w:rsidRPr="000160C5">
        <w:rPr>
          <w:rFonts w:cs="Times New Roman"/>
          <w:szCs w:val="28"/>
          <w:lang w:val="ru-RU"/>
        </w:rPr>
        <w:t xml:space="preserve"> нарушителю</w:t>
      </w:r>
      <w:r w:rsidR="004A550E">
        <w:rPr>
          <w:rFonts w:cs="Times New Roman"/>
          <w:szCs w:val="28"/>
          <w:lang w:val="ru-RU"/>
        </w:rPr>
        <w:t xml:space="preserve"> в этом случае</w:t>
      </w:r>
      <w:r w:rsidR="004347A3" w:rsidRPr="000160C5">
        <w:rPr>
          <w:rFonts w:cs="Times New Roman"/>
          <w:szCs w:val="28"/>
          <w:lang w:val="ru-RU"/>
        </w:rPr>
        <w:t>,</w:t>
      </w:r>
      <w:r w:rsidRPr="000160C5">
        <w:rPr>
          <w:rFonts w:cs="Times New Roman"/>
          <w:szCs w:val="28"/>
          <w:lang w:val="ru-RU"/>
        </w:rPr>
        <w:t xml:space="preserve"> является </w:t>
      </w:r>
      <w:r w:rsidR="008C7FCB" w:rsidRPr="000160C5">
        <w:rPr>
          <w:rFonts w:cs="Times New Roman"/>
          <w:szCs w:val="28"/>
          <w:lang w:val="ru-RU"/>
        </w:rPr>
        <w:t xml:space="preserve">приостановление (сроком не более 12 месяцев) или аннулирование </w:t>
      </w:r>
      <w:r w:rsidR="00C74C17" w:rsidRPr="000160C5">
        <w:rPr>
          <w:rFonts w:cs="Times New Roman"/>
          <w:szCs w:val="28"/>
          <w:lang w:val="ru-RU"/>
        </w:rPr>
        <w:t>выпуска</w:t>
      </w:r>
      <w:r w:rsidR="008C7FCB" w:rsidRPr="000160C5">
        <w:rPr>
          <w:rFonts w:cs="Times New Roman"/>
          <w:szCs w:val="28"/>
          <w:lang w:val="ru-RU"/>
        </w:rPr>
        <w:t xml:space="preserve"> ценных бумаг, находящихся в публичном обращении. Более того приостановление/аннулирование </w:t>
      </w:r>
      <w:r w:rsidR="00C74C17" w:rsidRPr="000160C5">
        <w:rPr>
          <w:rFonts w:cs="Times New Roman"/>
          <w:szCs w:val="28"/>
          <w:lang w:val="ru-RU"/>
        </w:rPr>
        <w:t xml:space="preserve">выпуска </w:t>
      </w:r>
      <w:r w:rsidR="008C7FCB" w:rsidRPr="000160C5">
        <w:rPr>
          <w:rFonts w:cs="Times New Roman"/>
          <w:szCs w:val="28"/>
          <w:lang w:val="ru-RU"/>
        </w:rPr>
        <w:t>ценных бумаг сохраняет свою силу и при правопреемстве эмитента и</w:t>
      </w:r>
      <w:r w:rsidR="004347A3" w:rsidRPr="000160C5">
        <w:rPr>
          <w:rFonts w:cs="Times New Roman"/>
          <w:szCs w:val="28"/>
          <w:lang w:val="ru-RU"/>
        </w:rPr>
        <w:t xml:space="preserve"> (или)</w:t>
      </w:r>
      <w:r w:rsidR="008C7FCB" w:rsidRPr="000160C5">
        <w:rPr>
          <w:rFonts w:cs="Times New Roman"/>
          <w:szCs w:val="28"/>
          <w:lang w:val="ru-RU"/>
        </w:rPr>
        <w:t xml:space="preserve"> смене корпоративного наименования. Примечательно, что формулировка санкции содержит указание на цель</w:t>
      </w:r>
      <w:r w:rsidR="00C74C17" w:rsidRPr="000160C5">
        <w:rPr>
          <w:rFonts w:cs="Times New Roman"/>
          <w:szCs w:val="28"/>
          <w:lang w:val="ru-RU"/>
        </w:rPr>
        <w:t xml:space="preserve"> ее реализации</w:t>
      </w:r>
      <w:r w:rsidR="008C7FCB" w:rsidRPr="000160C5">
        <w:rPr>
          <w:rFonts w:cs="Times New Roman"/>
          <w:szCs w:val="28"/>
          <w:lang w:val="ru-RU"/>
        </w:rPr>
        <w:t xml:space="preserve"> – защит</w:t>
      </w:r>
      <w:r w:rsidR="001C33FF" w:rsidRPr="000160C5">
        <w:rPr>
          <w:rFonts w:cs="Times New Roman"/>
          <w:szCs w:val="28"/>
          <w:lang w:val="ru-RU"/>
        </w:rPr>
        <w:t>а</w:t>
      </w:r>
      <w:r w:rsidR="008C7FCB" w:rsidRPr="000160C5">
        <w:rPr>
          <w:rFonts w:cs="Times New Roman"/>
          <w:szCs w:val="28"/>
          <w:lang w:val="ru-RU"/>
        </w:rPr>
        <w:t xml:space="preserve"> инвесторов.</w:t>
      </w:r>
    </w:p>
    <w:p w:rsidR="003A3AFF" w:rsidRDefault="001C33FF" w:rsidP="001E202B">
      <w:pPr>
        <w:pStyle w:val="TNR14"/>
        <w:rPr>
          <w:rFonts w:cs="Times New Roman"/>
          <w:szCs w:val="28"/>
          <w:lang w:val="ru-RU"/>
        </w:rPr>
      </w:pPr>
      <w:proofErr w:type="gramStart"/>
      <w:r w:rsidRPr="000160C5">
        <w:rPr>
          <w:rFonts w:cs="Times New Roman"/>
          <w:szCs w:val="28"/>
          <w:lang w:val="ru-RU"/>
        </w:rPr>
        <w:t xml:space="preserve">Российское законодательство предусматривает возможность признания выпуска </w:t>
      </w:r>
      <w:r w:rsidR="00595F7B">
        <w:rPr>
          <w:rFonts w:cs="Times New Roman"/>
          <w:szCs w:val="28"/>
          <w:lang w:val="ru-RU"/>
        </w:rPr>
        <w:t xml:space="preserve">ценных бумаг </w:t>
      </w:r>
      <w:r w:rsidRPr="000160C5">
        <w:rPr>
          <w:rFonts w:cs="Times New Roman"/>
          <w:szCs w:val="28"/>
          <w:lang w:val="ru-RU"/>
        </w:rPr>
        <w:t>несостоявшимся или недействительным, однако это возможно либо в рамках процедур</w:t>
      </w:r>
      <w:r w:rsidR="000C19C3" w:rsidRPr="000160C5">
        <w:rPr>
          <w:rFonts w:cs="Times New Roman"/>
          <w:szCs w:val="28"/>
          <w:lang w:val="ru-RU"/>
        </w:rPr>
        <w:t>ы</w:t>
      </w:r>
      <w:r w:rsidRPr="000160C5">
        <w:rPr>
          <w:rFonts w:cs="Times New Roman"/>
          <w:szCs w:val="28"/>
          <w:lang w:val="ru-RU"/>
        </w:rPr>
        <w:t xml:space="preserve"> регистрации эмиссии </w:t>
      </w:r>
      <w:r w:rsidR="000C19C3" w:rsidRPr="000160C5">
        <w:rPr>
          <w:rFonts w:cs="Times New Roman"/>
          <w:szCs w:val="28"/>
          <w:lang w:val="ru-RU"/>
        </w:rPr>
        <w:t>(ФСФР признает выпуск несостоявшимся), либо после завершения</w:t>
      </w:r>
      <w:r w:rsidR="00E37E62" w:rsidRPr="000160C5">
        <w:rPr>
          <w:rFonts w:cs="Times New Roman"/>
          <w:szCs w:val="28"/>
          <w:lang w:val="ru-RU"/>
        </w:rPr>
        <w:t xml:space="preserve"> эмиссии</w:t>
      </w:r>
      <w:r w:rsidR="00123B76">
        <w:rPr>
          <w:rFonts w:cs="Times New Roman"/>
          <w:szCs w:val="28"/>
          <w:lang w:val="ru-RU"/>
        </w:rPr>
        <w:t xml:space="preserve"> по решению суда</w:t>
      </w:r>
      <w:r w:rsidR="00E37E62" w:rsidRPr="000160C5">
        <w:rPr>
          <w:rFonts w:cs="Times New Roman"/>
          <w:szCs w:val="28"/>
          <w:lang w:val="ru-RU"/>
        </w:rPr>
        <w:t xml:space="preserve">, </w:t>
      </w:r>
      <w:r w:rsidR="00E37E62" w:rsidRPr="000160C5">
        <w:rPr>
          <w:rFonts w:cs="Times New Roman"/>
          <w:szCs w:val="28"/>
          <w:lang w:val="ru-RU"/>
        </w:rPr>
        <w:lastRenderedPageBreak/>
        <w:t>н</w:t>
      </w:r>
      <w:r w:rsidR="000C19C3" w:rsidRPr="000160C5">
        <w:rPr>
          <w:rFonts w:cs="Times New Roman"/>
          <w:szCs w:val="28"/>
          <w:lang w:val="ru-RU"/>
        </w:rPr>
        <w:t>о в рамках искового срока, равного трем месяцем с момента государственной регистрации отчета об итогах выпуска, который в случае пропуска восстановлению не подлежит.</w:t>
      </w:r>
      <w:proofErr w:type="gramEnd"/>
      <w:r w:rsidR="000C19C3" w:rsidRPr="000160C5">
        <w:rPr>
          <w:rFonts w:cs="Times New Roman"/>
          <w:szCs w:val="28"/>
          <w:lang w:val="ru-RU"/>
        </w:rPr>
        <w:t xml:space="preserve"> </w:t>
      </w:r>
      <w:proofErr w:type="gramStart"/>
      <w:r w:rsidR="000C19C3" w:rsidRPr="000160C5">
        <w:rPr>
          <w:rFonts w:cs="Times New Roman"/>
          <w:szCs w:val="28"/>
          <w:lang w:val="ru-RU"/>
        </w:rPr>
        <w:t xml:space="preserve">Однако </w:t>
      </w:r>
      <w:r w:rsidR="003A3AFF">
        <w:rPr>
          <w:rFonts w:cs="Times New Roman"/>
          <w:szCs w:val="28"/>
          <w:lang w:val="ru-RU"/>
        </w:rPr>
        <w:t xml:space="preserve">возможность </w:t>
      </w:r>
      <w:r w:rsidR="00123B76">
        <w:rPr>
          <w:rFonts w:cs="Times New Roman"/>
          <w:szCs w:val="28"/>
          <w:lang w:val="ru-RU"/>
        </w:rPr>
        <w:t>признани</w:t>
      </w:r>
      <w:r w:rsidR="003A3AFF">
        <w:rPr>
          <w:rFonts w:cs="Times New Roman"/>
          <w:szCs w:val="28"/>
          <w:lang w:val="ru-RU"/>
        </w:rPr>
        <w:t>я</w:t>
      </w:r>
      <w:r w:rsidR="00123B76">
        <w:rPr>
          <w:rFonts w:cs="Times New Roman"/>
          <w:szCs w:val="28"/>
          <w:lang w:val="ru-RU"/>
        </w:rPr>
        <w:t xml:space="preserve"> </w:t>
      </w:r>
      <w:r w:rsidR="00123B76" w:rsidRPr="000160C5">
        <w:rPr>
          <w:rFonts w:cs="Times New Roman"/>
          <w:szCs w:val="28"/>
          <w:lang w:val="ru-RU"/>
        </w:rPr>
        <w:t>выпуска ценных бумаг</w:t>
      </w:r>
      <w:r w:rsidR="00123B76">
        <w:rPr>
          <w:rFonts w:cs="Times New Roman"/>
          <w:szCs w:val="28"/>
          <w:lang w:val="ru-RU"/>
        </w:rPr>
        <w:t xml:space="preserve"> несостоявшимся или недействительным</w:t>
      </w:r>
      <w:r w:rsidR="000C19C3" w:rsidRPr="000160C5">
        <w:rPr>
          <w:rFonts w:cs="Times New Roman"/>
          <w:szCs w:val="28"/>
          <w:lang w:val="ru-RU"/>
        </w:rPr>
        <w:t xml:space="preserve"> по иным основаниям</w:t>
      </w:r>
      <w:r w:rsidR="00E37E62" w:rsidRPr="000160C5">
        <w:rPr>
          <w:rFonts w:cs="Times New Roman"/>
          <w:szCs w:val="28"/>
          <w:lang w:val="ru-RU"/>
        </w:rPr>
        <w:t xml:space="preserve">, кроме </w:t>
      </w:r>
      <w:r w:rsidR="00123B76">
        <w:rPr>
          <w:rFonts w:cs="Times New Roman"/>
          <w:szCs w:val="28"/>
          <w:lang w:val="ru-RU"/>
        </w:rPr>
        <w:t xml:space="preserve">содержащихся в Законе </w:t>
      </w:r>
      <w:r w:rsidR="00E37E62" w:rsidRPr="000160C5">
        <w:rPr>
          <w:rFonts w:cs="Times New Roman"/>
          <w:szCs w:val="28"/>
          <w:lang w:val="ru-RU"/>
        </w:rPr>
        <w:t xml:space="preserve">о РЦБ, </w:t>
      </w:r>
      <w:r w:rsidR="000C19C3" w:rsidRPr="000160C5">
        <w:rPr>
          <w:rFonts w:cs="Times New Roman"/>
          <w:szCs w:val="28"/>
          <w:lang w:val="ru-RU"/>
        </w:rPr>
        <w:t xml:space="preserve">в том числе из-за нарушения нормативно </w:t>
      </w:r>
      <w:r w:rsidR="003A3AFF">
        <w:rPr>
          <w:rFonts w:cs="Times New Roman"/>
          <w:szCs w:val="28"/>
          <w:lang w:val="ru-RU"/>
        </w:rPr>
        <w:t>установленной</w:t>
      </w:r>
      <w:r w:rsidR="000C19C3" w:rsidRPr="000160C5">
        <w:rPr>
          <w:rFonts w:cs="Times New Roman"/>
          <w:szCs w:val="28"/>
          <w:lang w:val="ru-RU"/>
        </w:rPr>
        <w:t xml:space="preserve"> обязанности эмитента раскрывать определенную информацию, </w:t>
      </w:r>
      <w:r w:rsidR="00E37E62" w:rsidRPr="000160C5">
        <w:rPr>
          <w:rFonts w:cs="Times New Roman"/>
          <w:szCs w:val="28"/>
          <w:lang w:val="ru-RU"/>
        </w:rPr>
        <w:t>российское законодательство не предусматривает.</w:t>
      </w:r>
      <w:r w:rsidR="00A75F1E" w:rsidRPr="000160C5">
        <w:rPr>
          <w:rFonts w:cs="Times New Roman"/>
          <w:szCs w:val="28"/>
          <w:lang w:val="ru-RU"/>
        </w:rPr>
        <w:t xml:space="preserve"> </w:t>
      </w:r>
      <w:proofErr w:type="gramEnd"/>
    </w:p>
    <w:p w:rsidR="00E37E62" w:rsidRPr="000160C5" w:rsidRDefault="00A75F1E" w:rsidP="001E202B">
      <w:pPr>
        <w:pStyle w:val="TNR14"/>
        <w:rPr>
          <w:rFonts w:cs="Times New Roman"/>
          <w:szCs w:val="28"/>
          <w:lang w:val="ru-RU"/>
        </w:rPr>
      </w:pPr>
      <w:r w:rsidRPr="000160C5">
        <w:rPr>
          <w:rFonts w:cs="Times New Roman"/>
          <w:szCs w:val="28"/>
          <w:lang w:val="ru-RU"/>
        </w:rPr>
        <w:t xml:space="preserve">Автору настоящей работу предусмотренная </w:t>
      </w:r>
      <w:r w:rsidR="00C74C17" w:rsidRPr="000160C5">
        <w:rPr>
          <w:rFonts w:cs="Times New Roman"/>
          <w:szCs w:val="28"/>
          <w:lang w:val="ru-RU"/>
        </w:rPr>
        <w:t xml:space="preserve">американским законодателем </w:t>
      </w:r>
      <w:r w:rsidRPr="000160C5">
        <w:rPr>
          <w:rFonts w:cs="Times New Roman"/>
          <w:szCs w:val="28"/>
          <w:lang w:val="ru-RU"/>
        </w:rPr>
        <w:t xml:space="preserve">санкция представляется эффективной мерой борьбы с эмитентами, нарушающими </w:t>
      </w:r>
      <w:r w:rsidR="00C37905" w:rsidRPr="000160C5">
        <w:rPr>
          <w:rFonts w:cs="Times New Roman"/>
          <w:szCs w:val="28"/>
          <w:lang w:val="ru-RU"/>
        </w:rPr>
        <w:t xml:space="preserve">публичную обязанность по раскрытию информации. </w:t>
      </w:r>
    </w:p>
    <w:p w:rsidR="001C33FF" w:rsidRPr="000160C5" w:rsidRDefault="00E37E62" w:rsidP="001E202B">
      <w:pPr>
        <w:pStyle w:val="TNR14"/>
        <w:rPr>
          <w:rFonts w:cs="Times New Roman"/>
          <w:szCs w:val="28"/>
          <w:lang w:val="ru-RU"/>
        </w:rPr>
      </w:pPr>
      <w:r w:rsidRPr="000160C5">
        <w:rPr>
          <w:rFonts w:cs="Times New Roman"/>
          <w:szCs w:val="28"/>
          <w:lang w:val="ru-RU"/>
        </w:rPr>
        <w:t>Исходя из выше  сказанного, можно сделать вывод о кардинально различном подходе к ответственности эмитента за неисполнение обязанности по раскрытию информации, содержащемся в законодательстве России и США. Состав ч.2 ст. 15 КоАП охватывает все нарушения эмитентом по раскрытию информацию и содержит единую санкцию за эти нарушения. В законодательстве  США существуют различные меры ответственности в зависимости от тяжести нарушения и его существа.</w:t>
      </w:r>
    </w:p>
    <w:p w:rsidR="004347A3" w:rsidRPr="000160C5" w:rsidRDefault="004347A3" w:rsidP="001E202B">
      <w:pPr>
        <w:pStyle w:val="TNR14"/>
        <w:rPr>
          <w:rFonts w:cs="Times New Roman"/>
          <w:szCs w:val="28"/>
          <w:lang w:val="ru-RU"/>
        </w:rPr>
      </w:pPr>
      <w:r w:rsidRPr="000160C5">
        <w:rPr>
          <w:rFonts w:cs="Times New Roman"/>
          <w:szCs w:val="28"/>
          <w:lang w:val="ru-RU"/>
        </w:rPr>
        <w:t xml:space="preserve">Кроме неисполнения обязанности по раскрытию информации вовсе, </w:t>
      </w:r>
      <w:r w:rsidR="003A759D" w:rsidRPr="000160C5">
        <w:rPr>
          <w:rFonts w:cs="Times New Roman"/>
          <w:szCs w:val="28"/>
          <w:lang w:val="ru-RU"/>
        </w:rPr>
        <w:t xml:space="preserve">среди </w:t>
      </w:r>
      <w:r w:rsidRPr="000160C5">
        <w:rPr>
          <w:rFonts w:cs="Times New Roman"/>
          <w:szCs w:val="28"/>
          <w:lang w:val="ru-RU"/>
        </w:rPr>
        <w:t>российски</w:t>
      </w:r>
      <w:r w:rsidR="003A759D" w:rsidRPr="000160C5">
        <w:rPr>
          <w:rFonts w:cs="Times New Roman"/>
          <w:szCs w:val="28"/>
          <w:lang w:val="ru-RU"/>
        </w:rPr>
        <w:t>х</w:t>
      </w:r>
      <w:r w:rsidRPr="000160C5">
        <w:rPr>
          <w:rFonts w:cs="Times New Roman"/>
          <w:szCs w:val="28"/>
          <w:lang w:val="ru-RU"/>
        </w:rPr>
        <w:t xml:space="preserve"> эмитент</w:t>
      </w:r>
      <w:r w:rsidR="003A759D" w:rsidRPr="000160C5">
        <w:rPr>
          <w:rFonts w:cs="Times New Roman"/>
          <w:szCs w:val="28"/>
          <w:lang w:val="ru-RU"/>
        </w:rPr>
        <w:t>ов распространена практика ненадлежащего исполнения</w:t>
      </w:r>
      <w:r w:rsidRPr="000160C5">
        <w:rPr>
          <w:rFonts w:cs="Times New Roman"/>
          <w:szCs w:val="28"/>
          <w:lang w:val="ru-RU"/>
        </w:rPr>
        <w:t xml:space="preserve"> обязанност</w:t>
      </w:r>
      <w:r w:rsidR="003A759D" w:rsidRPr="000160C5">
        <w:rPr>
          <w:rFonts w:cs="Times New Roman"/>
          <w:szCs w:val="28"/>
          <w:lang w:val="ru-RU"/>
        </w:rPr>
        <w:t>и</w:t>
      </w:r>
      <w:r w:rsidRPr="000160C5">
        <w:rPr>
          <w:rFonts w:cs="Times New Roman"/>
          <w:szCs w:val="28"/>
          <w:lang w:val="ru-RU"/>
        </w:rPr>
        <w:t xml:space="preserve">, как-то: </w:t>
      </w:r>
      <w:r w:rsidR="005D0CCF" w:rsidRPr="000160C5">
        <w:rPr>
          <w:rFonts w:cs="Times New Roman"/>
          <w:szCs w:val="28"/>
          <w:lang w:val="ru-RU"/>
        </w:rPr>
        <w:t xml:space="preserve">с </w:t>
      </w:r>
      <w:r w:rsidRPr="000160C5">
        <w:rPr>
          <w:rFonts w:cs="Times New Roman"/>
          <w:szCs w:val="28"/>
          <w:lang w:val="ru-RU"/>
        </w:rPr>
        <w:t>наруш</w:t>
      </w:r>
      <w:r w:rsidR="005D0CCF" w:rsidRPr="000160C5">
        <w:rPr>
          <w:rFonts w:cs="Times New Roman"/>
          <w:szCs w:val="28"/>
          <w:lang w:val="ru-RU"/>
        </w:rPr>
        <w:t>ением</w:t>
      </w:r>
      <w:r w:rsidRPr="000160C5">
        <w:rPr>
          <w:rFonts w:cs="Times New Roman"/>
          <w:szCs w:val="28"/>
          <w:lang w:val="ru-RU"/>
        </w:rPr>
        <w:t xml:space="preserve"> срок</w:t>
      </w:r>
      <w:r w:rsidR="005D0CCF" w:rsidRPr="000160C5">
        <w:rPr>
          <w:rFonts w:cs="Times New Roman"/>
          <w:szCs w:val="28"/>
          <w:lang w:val="ru-RU"/>
        </w:rPr>
        <w:t>ов</w:t>
      </w:r>
      <w:r w:rsidRPr="000160C5">
        <w:rPr>
          <w:rFonts w:cs="Times New Roman"/>
          <w:szCs w:val="28"/>
          <w:lang w:val="ru-RU"/>
        </w:rPr>
        <w:t xml:space="preserve"> и порядк</w:t>
      </w:r>
      <w:r w:rsidR="005D0CCF" w:rsidRPr="000160C5">
        <w:rPr>
          <w:rFonts w:cs="Times New Roman"/>
          <w:szCs w:val="28"/>
          <w:lang w:val="ru-RU"/>
        </w:rPr>
        <w:t>а</w:t>
      </w:r>
      <w:r w:rsidRPr="000160C5">
        <w:rPr>
          <w:rFonts w:cs="Times New Roman"/>
          <w:szCs w:val="28"/>
          <w:lang w:val="ru-RU"/>
        </w:rPr>
        <w:t xml:space="preserve"> раскрытия, что также в силу ст. 15.19 КоАП может квалифицироваться в качестве правонарушения.</w:t>
      </w:r>
    </w:p>
    <w:p w:rsidR="00941A89" w:rsidRPr="000160C5" w:rsidRDefault="00AB2A0C" w:rsidP="001E202B">
      <w:pPr>
        <w:pStyle w:val="TNR14"/>
        <w:rPr>
          <w:rFonts w:cs="Times New Roman"/>
          <w:szCs w:val="28"/>
          <w:lang w:val="ru-RU"/>
        </w:rPr>
      </w:pPr>
      <w:r w:rsidRPr="000160C5">
        <w:rPr>
          <w:rFonts w:cs="Times New Roman"/>
          <w:szCs w:val="28"/>
          <w:lang w:val="ru-RU"/>
        </w:rPr>
        <w:t xml:space="preserve">Для каждой формы раскрытия информации </w:t>
      </w:r>
      <w:r w:rsidR="003C48D0" w:rsidRPr="000160C5">
        <w:rPr>
          <w:rFonts w:cs="Times New Roman"/>
          <w:szCs w:val="28"/>
          <w:lang w:val="ru-RU"/>
        </w:rPr>
        <w:t xml:space="preserve">нормативно </w:t>
      </w:r>
      <w:r w:rsidRPr="000160C5">
        <w:rPr>
          <w:rFonts w:cs="Times New Roman"/>
          <w:szCs w:val="28"/>
          <w:lang w:val="ru-RU"/>
        </w:rPr>
        <w:t xml:space="preserve">установлены сроки, в рамках которых эмитент обязан </w:t>
      </w:r>
      <w:r w:rsidR="003C48D0" w:rsidRPr="000160C5">
        <w:rPr>
          <w:rFonts w:cs="Times New Roman"/>
          <w:szCs w:val="28"/>
          <w:lang w:val="ru-RU"/>
        </w:rPr>
        <w:t>опубликовать</w:t>
      </w:r>
      <w:r w:rsidRPr="000160C5">
        <w:rPr>
          <w:rFonts w:cs="Times New Roman"/>
          <w:szCs w:val="28"/>
          <w:lang w:val="ru-RU"/>
        </w:rPr>
        <w:t xml:space="preserve"> соответствующую информацию.</w:t>
      </w:r>
      <w:r w:rsidR="00071EC1" w:rsidRPr="000160C5">
        <w:rPr>
          <w:rFonts w:cs="Times New Roman"/>
          <w:szCs w:val="28"/>
          <w:lang w:val="ru-RU"/>
        </w:rPr>
        <w:t xml:space="preserve"> При несоблюдении установленных сроков, то есть при несвоевременном (раньше или позже установленного срока) опубликовании соответствующей информации</w:t>
      </w:r>
      <w:r w:rsidR="00C74C17" w:rsidRPr="000160C5">
        <w:rPr>
          <w:rFonts w:cs="Times New Roman"/>
          <w:szCs w:val="28"/>
          <w:lang w:val="ru-RU"/>
        </w:rPr>
        <w:t xml:space="preserve"> </w:t>
      </w:r>
      <w:r w:rsidR="00071EC1" w:rsidRPr="000160C5">
        <w:rPr>
          <w:rFonts w:cs="Times New Roman"/>
          <w:szCs w:val="28"/>
          <w:lang w:val="ru-RU"/>
        </w:rPr>
        <w:t xml:space="preserve">нарушается право инвесторов на получение актуальной информации. В наибольшей степени это касается раскрытия </w:t>
      </w:r>
      <w:r w:rsidR="00071EC1" w:rsidRPr="000160C5">
        <w:rPr>
          <w:rFonts w:cs="Times New Roman"/>
          <w:szCs w:val="28"/>
          <w:lang w:val="ru-RU"/>
        </w:rPr>
        <w:lastRenderedPageBreak/>
        <w:t>информации в форме сообщений о существенных фактах</w:t>
      </w:r>
      <w:r w:rsidR="00941A89" w:rsidRPr="000160C5">
        <w:rPr>
          <w:rFonts w:cs="Times New Roman"/>
          <w:szCs w:val="28"/>
          <w:lang w:val="ru-RU"/>
        </w:rPr>
        <w:t>, так как указанная форма раскрытия является наиболее оперативн</w:t>
      </w:r>
      <w:r w:rsidR="003C48D0" w:rsidRPr="000160C5">
        <w:rPr>
          <w:rFonts w:cs="Times New Roman"/>
          <w:szCs w:val="28"/>
          <w:lang w:val="ru-RU"/>
        </w:rPr>
        <w:t>ым способом получения инвесторами актуальной информации о текущем положении дел</w:t>
      </w:r>
      <w:r w:rsidR="00071EC1" w:rsidRPr="000160C5">
        <w:rPr>
          <w:rFonts w:cs="Times New Roman"/>
          <w:szCs w:val="28"/>
          <w:lang w:val="ru-RU"/>
        </w:rPr>
        <w:t>.</w:t>
      </w:r>
    </w:p>
    <w:p w:rsidR="00932B25" w:rsidRPr="000160C5" w:rsidRDefault="00941A89" w:rsidP="001E202B">
      <w:pPr>
        <w:pStyle w:val="TNR14"/>
        <w:rPr>
          <w:rFonts w:cs="Times New Roman"/>
          <w:szCs w:val="28"/>
          <w:lang w:val="ru-RU"/>
        </w:rPr>
      </w:pPr>
      <w:r w:rsidRPr="000160C5">
        <w:rPr>
          <w:rFonts w:cs="Times New Roman"/>
          <w:szCs w:val="28"/>
          <w:lang w:val="ru-RU"/>
        </w:rPr>
        <w:t xml:space="preserve">Беспрецедентным </w:t>
      </w:r>
      <w:r w:rsidR="00D877A9" w:rsidRPr="000160C5">
        <w:rPr>
          <w:rFonts w:cs="Times New Roman"/>
          <w:szCs w:val="28"/>
          <w:lang w:val="ru-RU"/>
        </w:rPr>
        <w:t xml:space="preserve">на сегодняшний день является </w:t>
      </w:r>
      <w:r w:rsidR="003C48D0" w:rsidRPr="000160C5">
        <w:rPr>
          <w:rFonts w:cs="Times New Roman"/>
          <w:szCs w:val="28"/>
          <w:lang w:val="ru-RU"/>
        </w:rPr>
        <w:t>единовременное (в рамка</w:t>
      </w:r>
      <w:r w:rsidR="00417459">
        <w:rPr>
          <w:rFonts w:cs="Times New Roman"/>
          <w:szCs w:val="28"/>
          <w:lang w:val="ru-RU"/>
        </w:rPr>
        <w:t>х</w:t>
      </w:r>
      <w:r w:rsidR="003C48D0" w:rsidRPr="000160C5">
        <w:rPr>
          <w:rFonts w:cs="Times New Roman"/>
          <w:szCs w:val="28"/>
          <w:lang w:val="ru-RU"/>
        </w:rPr>
        <w:t xml:space="preserve"> одного дня – 4 сентября 2012 г.) </w:t>
      </w:r>
      <w:r w:rsidR="00D877A9" w:rsidRPr="000160C5">
        <w:rPr>
          <w:rFonts w:cs="Times New Roman"/>
          <w:szCs w:val="28"/>
          <w:lang w:val="ru-RU"/>
        </w:rPr>
        <w:t>наложение ФСФР десяти штрафов в размере 750 тыс. рублей каждый, вынесенных в рамках десяти отдельных дел об административном правонарушении, каждое из которых квалифицируется по части 2 статьи 15.19 КоАП, в отношении ОАО «Седьмой континент»</w:t>
      </w:r>
      <w:r w:rsidR="00D877A9" w:rsidRPr="000160C5">
        <w:rPr>
          <w:rStyle w:val="a9"/>
          <w:rFonts w:cs="Times New Roman"/>
          <w:szCs w:val="28"/>
          <w:lang w:val="ru-RU"/>
        </w:rPr>
        <w:footnoteReference w:id="65"/>
      </w:r>
      <w:r w:rsidR="00D877A9" w:rsidRPr="000160C5">
        <w:rPr>
          <w:rFonts w:cs="Times New Roman"/>
          <w:szCs w:val="28"/>
          <w:lang w:val="ru-RU"/>
        </w:rPr>
        <w:t xml:space="preserve">. </w:t>
      </w:r>
      <w:r w:rsidR="00071EC1" w:rsidRPr="000160C5">
        <w:rPr>
          <w:rFonts w:cs="Times New Roman"/>
          <w:szCs w:val="28"/>
          <w:lang w:val="ru-RU"/>
        </w:rPr>
        <w:t xml:space="preserve">  </w:t>
      </w:r>
    </w:p>
    <w:p w:rsidR="00AB2A0C" w:rsidRPr="000160C5" w:rsidRDefault="00932B25" w:rsidP="001E202B">
      <w:pPr>
        <w:pStyle w:val="TNR14"/>
        <w:rPr>
          <w:rFonts w:cs="Times New Roman"/>
          <w:szCs w:val="28"/>
          <w:lang w:val="ru-RU"/>
        </w:rPr>
      </w:pPr>
      <w:r w:rsidRPr="000160C5">
        <w:rPr>
          <w:rFonts w:cs="Times New Roman"/>
          <w:szCs w:val="28"/>
          <w:lang w:val="ru-RU"/>
        </w:rPr>
        <w:t xml:space="preserve">Два постановления о привлечении к административной ответственности из десяти </w:t>
      </w:r>
      <w:r w:rsidR="00AB2A0C" w:rsidRPr="000160C5">
        <w:rPr>
          <w:rFonts w:cs="Times New Roman"/>
          <w:szCs w:val="28"/>
          <w:lang w:val="ru-RU"/>
        </w:rPr>
        <w:t xml:space="preserve"> </w:t>
      </w:r>
      <w:r w:rsidRPr="000160C5">
        <w:rPr>
          <w:rFonts w:cs="Times New Roman"/>
          <w:szCs w:val="28"/>
          <w:lang w:val="ru-RU"/>
        </w:rPr>
        <w:t xml:space="preserve">были обжалованы эмитентом в арбитражном суде г. Москвы и далее – в 9ААС, однако </w:t>
      </w:r>
      <w:r w:rsidR="003F129D" w:rsidRPr="000160C5">
        <w:rPr>
          <w:rFonts w:cs="Times New Roman"/>
          <w:szCs w:val="28"/>
          <w:lang w:val="ru-RU"/>
        </w:rPr>
        <w:t xml:space="preserve">судами был лишь снижен размер штрафа с 750 тыс. рублей до 700 тыс. рублей, в остальном постановления ФСФР не были отменены. </w:t>
      </w:r>
    </w:p>
    <w:p w:rsidR="00F564A2" w:rsidRPr="000160C5" w:rsidRDefault="00E962B6" w:rsidP="001E202B">
      <w:pPr>
        <w:pStyle w:val="TNR14"/>
        <w:rPr>
          <w:rFonts w:cs="Times New Roman"/>
          <w:szCs w:val="28"/>
          <w:lang w:val="ru-RU"/>
        </w:rPr>
      </w:pPr>
      <w:r w:rsidRPr="000160C5">
        <w:rPr>
          <w:rFonts w:cs="Times New Roman"/>
          <w:szCs w:val="28"/>
          <w:lang w:val="ru-RU"/>
        </w:rPr>
        <w:t xml:space="preserve">Исходя из материалов судебных решений, ОАО «Седьмой континент» нарушило сроки </w:t>
      </w:r>
      <w:r w:rsidR="00BC0862" w:rsidRPr="000160C5">
        <w:rPr>
          <w:rFonts w:cs="Times New Roman"/>
          <w:szCs w:val="28"/>
          <w:lang w:val="ru-RU"/>
        </w:rPr>
        <w:t xml:space="preserve">(просрочило на 17 дней) </w:t>
      </w:r>
      <w:r w:rsidRPr="000160C5">
        <w:rPr>
          <w:rFonts w:cs="Times New Roman"/>
          <w:szCs w:val="28"/>
          <w:lang w:val="ru-RU"/>
        </w:rPr>
        <w:t xml:space="preserve">опубликования </w:t>
      </w:r>
      <w:r w:rsidR="001E247C" w:rsidRPr="000160C5">
        <w:rPr>
          <w:rFonts w:cs="Times New Roman"/>
          <w:szCs w:val="28"/>
          <w:lang w:val="ru-RU"/>
        </w:rPr>
        <w:t xml:space="preserve">сообщения </w:t>
      </w:r>
      <w:r w:rsidR="003C48D0" w:rsidRPr="000160C5">
        <w:rPr>
          <w:rFonts w:cs="Times New Roman"/>
          <w:szCs w:val="28"/>
          <w:lang w:val="ru-RU"/>
        </w:rPr>
        <w:t xml:space="preserve">о </w:t>
      </w:r>
      <w:r w:rsidRPr="000160C5">
        <w:rPr>
          <w:rFonts w:cs="Times New Roman"/>
          <w:szCs w:val="28"/>
          <w:lang w:val="ru-RU"/>
        </w:rPr>
        <w:t>существенных факт</w:t>
      </w:r>
      <w:r w:rsidR="003C48D0" w:rsidRPr="000160C5">
        <w:rPr>
          <w:rFonts w:cs="Times New Roman"/>
          <w:szCs w:val="28"/>
          <w:lang w:val="ru-RU"/>
        </w:rPr>
        <w:t>ах</w:t>
      </w:r>
      <w:r w:rsidR="001E247C" w:rsidRPr="000160C5">
        <w:rPr>
          <w:rFonts w:cs="Times New Roman"/>
          <w:szCs w:val="28"/>
          <w:lang w:val="ru-RU"/>
        </w:rPr>
        <w:t>, а именно:</w:t>
      </w:r>
      <w:r w:rsidRPr="000160C5">
        <w:rPr>
          <w:rFonts w:cs="Times New Roman"/>
          <w:szCs w:val="28"/>
          <w:lang w:val="ru-RU"/>
        </w:rPr>
        <w:t xml:space="preserve"> о проведении собрания совета директоров, </w:t>
      </w:r>
      <w:r w:rsidR="001E247C" w:rsidRPr="000160C5">
        <w:rPr>
          <w:rFonts w:cs="Times New Roman"/>
          <w:szCs w:val="28"/>
          <w:lang w:val="ru-RU"/>
        </w:rPr>
        <w:t xml:space="preserve">его повестке дня, </w:t>
      </w:r>
      <w:r w:rsidRPr="000160C5">
        <w:rPr>
          <w:rFonts w:cs="Times New Roman"/>
          <w:szCs w:val="28"/>
          <w:lang w:val="ru-RU"/>
        </w:rPr>
        <w:t>а также о</w:t>
      </w:r>
      <w:r w:rsidR="001E247C" w:rsidRPr="000160C5">
        <w:rPr>
          <w:rFonts w:cs="Times New Roman"/>
          <w:szCs w:val="28"/>
          <w:lang w:val="ru-RU"/>
        </w:rPr>
        <w:t>б</w:t>
      </w:r>
      <w:r w:rsidRPr="000160C5">
        <w:rPr>
          <w:rFonts w:cs="Times New Roman"/>
          <w:szCs w:val="28"/>
          <w:lang w:val="ru-RU"/>
        </w:rPr>
        <w:t xml:space="preserve"> </w:t>
      </w:r>
      <w:r w:rsidR="001E247C" w:rsidRPr="000160C5">
        <w:rPr>
          <w:rFonts w:cs="Times New Roman"/>
          <w:szCs w:val="28"/>
          <w:lang w:val="ru-RU"/>
        </w:rPr>
        <w:t xml:space="preserve">отдельных </w:t>
      </w:r>
      <w:r w:rsidRPr="000160C5">
        <w:rPr>
          <w:rFonts w:cs="Times New Roman"/>
          <w:szCs w:val="28"/>
          <w:lang w:val="ru-RU"/>
        </w:rPr>
        <w:t>принят</w:t>
      </w:r>
      <w:r w:rsidR="001E247C" w:rsidRPr="000160C5">
        <w:rPr>
          <w:rFonts w:cs="Times New Roman"/>
          <w:szCs w:val="28"/>
          <w:lang w:val="ru-RU"/>
        </w:rPr>
        <w:t>ых</w:t>
      </w:r>
      <w:r w:rsidRPr="000160C5">
        <w:rPr>
          <w:rFonts w:cs="Times New Roman"/>
          <w:szCs w:val="28"/>
          <w:lang w:val="ru-RU"/>
        </w:rPr>
        <w:t xml:space="preserve"> решени</w:t>
      </w:r>
      <w:r w:rsidR="001E247C" w:rsidRPr="000160C5">
        <w:rPr>
          <w:rFonts w:cs="Times New Roman"/>
          <w:szCs w:val="28"/>
          <w:lang w:val="ru-RU"/>
        </w:rPr>
        <w:t>ях, в частности</w:t>
      </w:r>
      <w:r w:rsidRPr="000160C5">
        <w:rPr>
          <w:rFonts w:cs="Times New Roman"/>
          <w:szCs w:val="28"/>
          <w:lang w:val="ru-RU"/>
        </w:rPr>
        <w:t xml:space="preserve"> относительно расторжения договора с </w:t>
      </w:r>
      <w:r w:rsidR="001E247C" w:rsidRPr="000160C5">
        <w:rPr>
          <w:rFonts w:cs="Times New Roman"/>
          <w:szCs w:val="28"/>
          <w:lang w:val="ru-RU"/>
        </w:rPr>
        <w:t>прежним держателем реестра общества</w:t>
      </w:r>
      <w:r w:rsidRPr="000160C5">
        <w:rPr>
          <w:rFonts w:cs="Times New Roman"/>
          <w:szCs w:val="28"/>
          <w:lang w:val="ru-RU"/>
        </w:rPr>
        <w:t xml:space="preserve"> и утверждени</w:t>
      </w:r>
      <w:r w:rsidR="00766177" w:rsidRPr="000160C5">
        <w:rPr>
          <w:rFonts w:cs="Times New Roman"/>
          <w:szCs w:val="28"/>
          <w:lang w:val="ru-RU"/>
        </w:rPr>
        <w:t>я</w:t>
      </w:r>
      <w:r w:rsidRPr="000160C5">
        <w:rPr>
          <w:rFonts w:cs="Times New Roman"/>
          <w:szCs w:val="28"/>
          <w:lang w:val="ru-RU"/>
        </w:rPr>
        <w:t xml:space="preserve"> нового </w:t>
      </w:r>
      <w:r w:rsidR="001E247C" w:rsidRPr="000160C5">
        <w:rPr>
          <w:rFonts w:cs="Times New Roman"/>
          <w:szCs w:val="28"/>
          <w:lang w:val="ru-RU"/>
        </w:rPr>
        <w:t>держателя реестра</w:t>
      </w:r>
      <w:r w:rsidRPr="000160C5">
        <w:rPr>
          <w:rFonts w:cs="Times New Roman"/>
          <w:szCs w:val="28"/>
          <w:lang w:val="ru-RU"/>
        </w:rPr>
        <w:t xml:space="preserve">. </w:t>
      </w:r>
      <w:r w:rsidR="00BC0862" w:rsidRPr="000160C5">
        <w:rPr>
          <w:rFonts w:cs="Times New Roman"/>
          <w:szCs w:val="28"/>
          <w:lang w:val="ru-RU"/>
        </w:rPr>
        <w:t xml:space="preserve">Указанные решения были отражены в двух отдельных протоколах собрания совета директоров от одной и той же даты, в </w:t>
      </w:r>
      <w:proofErr w:type="gramStart"/>
      <w:r w:rsidR="00BC0862" w:rsidRPr="000160C5">
        <w:rPr>
          <w:rFonts w:cs="Times New Roman"/>
          <w:szCs w:val="28"/>
          <w:lang w:val="ru-RU"/>
        </w:rPr>
        <w:t>связи</w:t>
      </w:r>
      <w:proofErr w:type="gramEnd"/>
      <w:r w:rsidR="00BC0862" w:rsidRPr="000160C5">
        <w:rPr>
          <w:rFonts w:cs="Times New Roman"/>
          <w:szCs w:val="28"/>
          <w:lang w:val="ru-RU"/>
        </w:rPr>
        <w:t xml:space="preserve"> с чем эмитент был привлечен к ответственности по двум отдельным правонарушениям.</w:t>
      </w:r>
    </w:p>
    <w:p w:rsidR="00E962B6" w:rsidRPr="000160C5" w:rsidRDefault="00F564A2" w:rsidP="001E202B">
      <w:pPr>
        <w:pStyle w:val="TNR14"/>
        <w:rPr>
          <w:rFonts w:cs="Times New Roman"/>
          <w:szCs w:val="28"/>
          <w:lang w:val="ru-RU"/>
        </w:rPr>
      </w:pPr>
      <w:proofErr w:type="gramStart"/>
      <w:r w:rsidRPr="000160C5">
        <w:rPr>
          <w:rFonts w:cs="Times New Roman"/>
          <w:szCs w:val="28"/>
          <w:lang w:val="ru-RU"/>
        </w:rPr>
        <w:t>В ответ на до</w:t>
      </w:r>
      <w:r w:rsidR="00E537CA" w:rsidRPr="000160C5">
        <w:rPr>
          <w:rFonts w:cs="Times New Roman"/>
          <w:szCs w:val="28"/>
          <w:lang w:val="ru-RU"/>
        </w:rPr>
        <w:t>в</w:t>
      </w:r>
      <w:r w:rsidRPr="000160C5">
        <w:rPr>
          <w:rFonts w:cs="Times New Roman"/>
          <w:szCs w:val="28"/>
          <w:lang w:val="ru-RU"/>
        </w:rPr>
        <w:t xml:space="preserve">од эмитента о малозначительности совершенного правонарушения суд указал на наличие в нем существенной угрозы общественным интересам, выражающейся в данном случае </w:t>
      </w:r>
      <w:r w:rsidR="0003206A" w:rsidRPr="000160C5">
        <w:rPr>
          <w:rFonts w:cs="Times New Roman"/>
          <w:szCs w:val="28"/>
          <w:lang w:val="ru-RU"/>
        </w:rPr>
        <w:t>не в наступлении каких-либо материальных последствий правонарушения,</w:t>
      </w:r>
      <w:r w:rsidR="003C48D0" w:rsidRPr="000160C5">
        <w:rPr>
          <w:rFonts w:cs="Times New Roman"/>
          <w:szCs w:val="28"/>
          <w:lang w:val="ru-RU"/>
        </w:rPr>
        <w:t xml:space="preserve"> что несущественно в принципе, так как состав правонарушения является формальным,</w:t>
      </w:r>
      <w:r w:rsidR="0003206A" w:rsidRPr="000160C5">
        <w:rPr>
          <w:rFonts w:cs="Times New Roman"/>
          <w:szCs w:val="28"/>
          <w:lang w:val="ru-RU"/>
        </w:rPr>
        <w:t xml:space="preserve"> а в пренебрежительном отношении общества к исполнению его г</w:t>
      </w:r>
      <w:r w:rsidR="003C48D0" w:rsidRPr="000160C5">
        <w:rPr>
          <w:rFonts w:cs="Times New Roman"/>
          <w:szCs w:val="28"/>
          <w:lang w:val="ru-RU"/>
        </w:rPr>
        <w:t>ражданско-</w:t>
      </w:r>
      <w:r w:rsidR="003C48D0" w:rsidRPr="000160C5">
        <w:rPr>
          <w:rFonts w:cs="Times New Roman"/>
          <w:szCs w:val="28"/>
          <w:lang w:val="ru-RU"/>
        </w:rPr>
        <w:lastRenderedPageBreak/>
        <w:t>правовых обязанностей и</w:t>
      </w:r>
      <w:r w:rsidR="0003206A" w:rsidRPr="000160C5">
        <w:rPr>
          <w:rFonts w:cs="Times New Roman"/>
          <w:szCs w:val="28"/>
          <w:lang w:val="ru-RU"/>
        </w:rPr>
        <w:t xml:space="preserve"> отсутствии должного контроля со стороны ответственных лиц.</w:t>
      </w:r>
      <w:proofErr w:type="gramEnd"/>
      <w:r w:rsidR="0003206A" w:rsidRPr="000160C5">
        <w:rPr>
          <w:rFonts w:cs="Times New Roman"/>
          <w:szCs w:val="28"/>
          <w:lang w:val="ru-RU"/>
        </w:rPr>
        <w:t xml:space="preserve"> О высокой степени общественной опасности</w:t>
      </w:r>
      <w:r w:rsidR="003C48D0" w:rsidRPr="000160C5">
        <w:rPr>
          <w:rFonts w:cs="Times New Roman"/>
          <w:szCs w:val="28"/>
          <w:lang w:val="ru-RU"/>
        </w:rPr>
        <w:t>, как указал суд, свидетельствую</w:t>
      </w:r>
      <w:r w:rsidR="0003206A" w:rsidRPr="000160C5">
        <w:rPr>
          <w:rFonts w:cs="Times New Roman"/>
          <w:szCs w:val="28"/>
          <w:lang w:val="ru-RU"/>
        </w:rPr>
        <w:t xml:space="preserve">т значительный размер штрафа, </w:t>
      </w:r>
      <w:r w:rsidR="003C48D0" w:rsidRPr="000160C5">
        <w:rPr>
          <w:rFonts w:cs="Times New Roman"/>
          <w:szCs w:val="28"/>
          <w:lang w:val="ru-RU"/>
        </w:rPr>
        <w:t xml:space="preserve">а также </w:t>
      </w:r>
      <w:r w:rsidR="0003206A" w:rsidRPr="000160C5">
        <w:rPr>
          <w:rFonts w:cs="Times New Roman"/>
          <w:szCs w:val="28"/>
          <w:lang w:val="ru-RU"/>
        </w:rPr>
        <w:t>годичный срок давности привлечения к ответственности</w:t>
      </w:r>
      <w:r w:rsidR="0003206A" w:rsidRPr="000160C5">
        <w:rPr>
          <w:rStyle w:val="a9"/>
          <w:rFonts w:cs="Times New Roman"/>
          <w:szCs w:val="28"/>
          <w:lang w:val="ru-RU"/>
        </w:rPr>
        <w:footnoteReference w:id="66"/>
      </w:r>
      <w:r w:rsidR="0003206A" w:rsidRPr="000160C5">
        <w:rPr>
          <w:rFonts w:cs="Times New Roman"/>
          <w:szCs w:val="28"/>
          <w:lang w:val="ru-RU"/>
        </w:rPr>
        <w:t xml:space="preserve">. </w:t>
      </w:r>
    </w:p>
    <w:p w:rsidR="00E537CA" w:rsidRPr="000160C5" w:rsidRDefault="00E537CA" w:rsidP="001E202B">
      <w:pPr>
        <w:pStyle w:val="TNR14"/>
        <w:rPr>
          <w:rFonts w:cs="Times New Roman"/>
          <w:szCs w:val="28"/>
          <w:lang w:val="ru-RU"/>
        </w:rPr>
      </w:pPr>
      <w:r w:rsidRPr="000160C5">
        <w:rPr>
          <w:rFonts w:cs="Times New Roman"/>
          <w:szCs w:val="28"/>
          <w:lang w:val="ru-RU"/>
        </w:rPr>
        <w:t>Кроме того, судя по информации сайта ФСФР о привлечении эмитентов к административной ответственности</w:t>
      </w:r>
      <w:r w:rsidR="00097434" w:rsidRPr="000160C5">
        <w:rPr>
          <w:rStyle w:val="a9"/>
          <w:rFonts w:cs="Times New Roman"/>
          <w:szCs w:val="28"/>
          <w:lang w:val="ru-RU"/>
        </w:rPr>
        <w:footnoteReference w:id="67"/>
      </w:r>
      <w:r w:rsidRPr="000160C5">
        <w:rPr>
          <w:rFonts w:cs="Times New Roman"/>
          <w:szCs w:val="28"/>
          <w:lang w:val="ru-RU"/>
        </w:rPr>
        <w:t xml:space="preserve">, ОАО «Седьмой континент» уже было </w:t>
      </w:r>
      <w:r w:rsidR="00417459" w:rsidRPr="000160C5">
        <w:rPr>
          <w:rFonts w:cs="Times New Roman"/>
          <w:szCs w:val="28"/>
          <w:lang w:val="ru-RU"/>
        </w:rPr>
        <w:t xml:space="preserve">неоднократно </w:t>
      </w:r>
      <w:r w:rsidRPr="000160C5">
        <w:rPr>
          <w:rFonts w:cs="Times New Roman"/>
          <w:szCs w:val="28"/>
          <w:lang w:val="ru-RU"/>
        </w:rPr>
        <w:t xml:space="preserve">привлечено к ответственности по части 2 статьи 15.19 КоАП как до </w:t>
      </w:r>
      <w:r w:rsidR="003C48D0" w:rsidRPr="000160C5">
        <w:rPr>
          <w:rFonts w:cs="Times New Roman"/>
          <w:szCs w:val="28"/>
          <w:lang w:val="ru-RU"/>
        </w:rPr>
        <w:t xml:space="preserve">4 </w:t>
      </w:r>
      <w:r w:rsidRPr="000160C5">
        <w:rPr>
          <w:rFonts w:cs="Times New Roman"/>
          <w:szCs w:val="28"/>
          <w:lang w:val="ru-RU"/>
        </w:rPr>
        <w:t>сентября 2012 года, так и после</w:t>
      </w:r>
      <w:r w:rsidR="003C48D0" w:rsidRPr="000160C5">
        <w:rPr>
          <w:rFonts w:cs="Times New Roman"/>
          <w:szCs w:val="28"/>
          <w:lang w:val="ru-RU"/>
        </w:rPr>
        <w:t xml:space="preserve"> указанной даты</w:t>
      </w:r>
      <w:r w:rsidRPr="000160C5">
        <w:rPr>
          <w:rFonts w:cs="Times New Roman"/>
          <w:szCs w:val="28"/>
          <w:lang w:val="ru-RU"/>
        </w:rPr>
        <w:t xml:space="preserve">. </w:t>
      </w:r>
      <w:r w:rsidR="003C48D0" w:rsidRPr="000160C5">
        <w:rPr>
          <w:rFonts w:cs="Times New Roman"/>
          <w:szCs w:val="28"/>
          <w:lang w:val="ru-RU"/>
        </w:rPr>
        <w:t>Приведенный</w:t>
      </w:r>
      <w:r w:rsidRPr="000160C5">
        <w:rPr>
          <w:rFonts w:cs="Times New Roman"/>
          <w:szCs w:val="28"/>
          <w:lang w:val="ru-RU"/>
        </w:rPr>
        <w:t xml:space="preserve"> пример свидетельствует о многократности совершаемых</w:t>
      </w:r>
      <w:r w:rsidR="003C48D0" w:rsidRPr="000160C5">
        <w:rPr>
          <w:rFonts w:cs="Times New Roman"/>
          <w:szCs w:val="28"/>
          <w:lang w:val="ru-RU"/>
        </w:rPr>
        <w:t xml:space="preserve"> эмитента</w:t>
      </w:r>
      <w:r w:rsidRPr="000160C5">
        <w:rPr>
          <w:rFonts w:cs="Times New Roman"/>
          <w:szCs w:val="28"/>
          <w:lang w:val="ru-RU"/>
        </w:rPr>
        <w:t>м</w:t>
      </w:r>
      <w:r w:rsidR="003C48D0" w:rsidRPr="000160C5">
        <w:rPr>
          <w:rFonts w:cs="Times New Roman"/>
          <w:szCs w:val="28"/>
          <w:lang w:val="ru-RU"/>
        </w:rPr>
        <w:t>и</w:t>
      </w:r>
      <w:r w:rsidRPr="000160C5">
        <w:rPr>
          <w:rFonts w:cs="Times New Roman"/>
          <w:szCs w:val="28"/>
          <w:lang w:val="ru-RU"/>
        </w:rPr>
        <w:t xml:space="preserve">  правонарушений в области раскрытия информации на рынке ценных бумаг и неэффективности предусмотренных правовых механизмов по борьбе и предотвращению совершени</w:t>
      </w:r>
      <w:r w:rsidR="003C48D0" w:rsidRPr="000160C5">
        <w:rPr>
          <w:rFonts w:cs="Times New Roman"/>
          <w:szCs w:val="28"/>
          <w:lang w:val="ru-RU"/>
        </w:rPr>
        <w:t>я эмитентами</w:t>
      </w:r>
      <w:r w:rsidRPr="000160C5">
        <w:rPr>
          <w:rFonts w:cs="Times New Roman"/>
          <w:szCs w:val="28"/>
          <w:lang w:val="ru-RU"/>
        </w:rPr>
        <w:t xml:space="preserve"> правонарушений впредь.</w:t>
      </w:r>
    </w:p>
    <w:p w:rsidR="00595EED" w:rsidRPr="000160C5" w:rsidRDefault="007A6348" w:rsidP="001E202B">
      <w:pPr>
        <w:pStyle w:val="TNR14"/>
        <w:rPr>
          <w:rFonts w:cs="Times New Roman"/>
          <w:szCs w:val="28"/>
          <w:lang w:val="ru-RU"/>
        </w:rPr>
      </w:pPr>
      <w:r w:rsidRPr="000160C5">
        <w:rPr>
          <w:rFonts w:cs="Times New Roman"/>
          <w:szCs w:val="28"/>
          <w:lang w:val="ru-RU"/>
        </w:rPr>
        <w:t xml:space="preserve">Кроме привлечения эмитентов за несвоевременное опубликование сообщений о существенных фактах, судебная практика подтверждает привлечение эмитентов за несвоевременное опубликование годовых </w:t>
      </w:r>
      <w:r w:rsidR="00BF7753" w:rsidRPr="000160C5">
        <w:rPr>
          <w:rFonts w:cs="Times New Roman"/>
          <w:szCs w:val="28"/>
          <w:lang w:val="ru-RU"/>
        </w:rPr>
        <w:t xml:space="preserve">и ежеквартальных </w:t>
      </w:r>
      <w:r w:rsidRPr="000160C5">
        <w:rPr>
          <w:rFonts w:cs="Times New Roman"/>
          <w:szCs w:val="28"/>
          <w:lang w:val="ru-RU"/>
        </w:rPr>
        <w:t>отчетов, списка аффилированных лиц, годовой бухгалтерской отч</w:t>
      </w:r>
      <w:r w:rsidR="00BF7753" w:rsidRPr="000160C5">
        <w:rPr>
          <w:rFonts w:cs="Times New Roman"/>
          <w:szCs w:val="28"/>
          <w:lang w:val="ru-RU"/>
        </w:rPr>
        <w:t>етности, текста устава общества</w:t>
      </w:r>
      <w:r w:rsidR="003C7A13" w:rsidRPr="000160C5">
        <w:rPr>
          <w:rFonts w:cs="Times New Roman"/>
          <w:szCs w:val="28"/>
          <w:lang w:val="ru-RU"/>
        </w:rPr>
        <w:t xml:space="preserve"> и пр.</w:t>
      </w:r>
      <w:r w:rsidR="00BF7753" w:rsidRPr="000160C5">
        <w:rPr>
          <w:rStyle w:val="a9"/>
          <w:rFonts w:cs="Times New Roman"/>
          <w:szCs w:val="28"/>
          <w:lang w:val="ru-RU"/>
        </w:rPr>
        <w:footnoteReference w:id="68"/>
      </w:r>
      <w:r w:rsidR="00BF7753" w:rsidRPr="000160C5">
        <w:rPr>
          <w:rFonts w:cs="Times New Roman"/>
          <w:szCs w:val="28"/>
          <w:lang w:val="ru-RU"/>
        </w:rPr>
        <w:t xml:space="preserve">. </w:t>
      </w:r>
      <w:r w:rsidRPr="000160C5">
        <w:rPr>
          <w:rFonts w:cs="Times New Roman"/>
          <w:szCs w:val="28"/>
          <w:lang w:val="ru-RU"/>
        </w:rPr>
        <w:t xml:space="preserve"> </w:t>
      </w:r>
    </w:p>
    <w:p w:rsidR="00BF7753" w:rsidRPr="000160C5" w:rsidRDefault="00BF7753" w:rsidP="001E202B">
      <w:pPr>
        <w:pStyle w:val="TNR14"/>
        <w:rPr>
          <w:rFonts w:cs="Times New Roman"/>
          <w:szCs w:val="28"/>
          <w:lang w:val="ru-RU"/>
        </w:rPr>
      </w:pPr>
      <w:r w:rsidRPr="000160C5">
        <w:rPr>
          <w:rFonts w:cs="Times New Roman"/>
          <w:szCs w:val="28"/>
          <w:lang w:val="ru-RU"/>
        </w:rPr>
        <w:t xml:space="preserve">Помимо нарушения срока раскрытия информации, эмитентом может быть нарушен порядок раскрытия информации, как-то: неправильное оформление документов, </w:t>
      </w:r>
      <w:proofErr w:type="spellStart"/>
      <w:r w:rsidRPr="000160C5">
        <w:rPr>
          <w:rFonts w:cs="Times New Roman"/>
          <w:szCs w:val="28"/>
          <w:lang w:val="ru-RU"/>
        </w:rPr>
        <w:t>неопубликование</w:t>
      </w:r>
      <w:proofErr w:type="spellEnd"/>
      <w:r w:rsidRPr="000160C5">
        <w:rPr>
          <w:rFonts w:cs="Times New Roman"/>
          <w:szCs w:val="28"/>
          <w:lang w:val="ru-RU"/>
        </w:rPr>
        <w:t xml:space="preserve"> в ленте новостей сообщения о раскрытии </w:t>
      </w:r>
      <w:r w:rsidR="004D1B96" w:rsidRPr="000160C5">
        <w:rPr>
          <w:rFonts w:cs="Times New Roman"/>
          <w:szCs w:val="28"/>
          <w:lang w:val="ru-RU"/>
        </w:rPr>
        <w:t>тех или иных документов (например, годового и ежеквартального отчетов, списка аффилированных лиц и пр.)</w:t>
      </w:r>
      <w:r w:rsidR="00F30545" w:rsidRPr="000160C5">
        <w:rPr>
          <w:rFonts w:cs="Times New Roman"/>
          <w:szCs w:val="28"/>
          <w:lang w:val="ru-RU"/>
        </w:rPr>
        <w:t xml:space="preserve">, </w:t>
      </w:r>
      <w:r w:rsidR="00F63B97" w:rsidRPr="000160C5">
        <w:rPr>
          <w:rFonts w:cs="Times New Roman"/>
          <w:szCs w:val="28"/>
          <w:lang w:val="ru-RU"/>
        </w:rPr>
        <w:t>необеспечение доступа к раскрытой информации на странице в сети Интернет и пр.</w:t>
      </w:r>
      <w:r w:rsidRPr="000160C5">
        <w:rPr>
          <w:rFonts w:cs="Times New Roman"/>
          <w:szCs w:val="28"/>
          <w:lang w:val="ru-RU"/>
        </w:rPr>
        <w:t xml:space="preserve"> </w:t>
      </w:r>
    </w:p>
    <w:p w:rsidR="00D95572" w:rsidRPr="000160C5" w:rsidRDefault="00F63B97" w:rsidP="001E202B">
      <w:pPr>
        <w:pStyle w:val="TNR14"/>
        <w:rPr>
          <w:rFonts w:cs="Times New Roman"/>
          <w:szCs w:val="28"/>
          <w:lang w:val="ru-RU"/>
        </w:rPr>
      </w:pPr>
      <w:proofErr w:type="gramStart"/>
      <w:r w:rsidRPr="000160C5">
        <w:rPr>
          <w:rFonts w:cs="Times New Roman"/>
          <w:szCs w:val="28"/>
          <w:lang w:val="ru-RU"/>
        </w:rPr>
        <w:t xml:space="preserve">Относительно нарушения порядка и сроков раскрытия информации стоит отметить, что со вступлением в силу нового Положения о раскрытии </w:t>
      </w:r>
      <w:r w:rsidRPr="000160C5">
        <w:rPr>
          <w:rFonts w:cs="Times New Roman"/>
          <w:szCs w:val="28"/>
          <w:lang w:val="ru-RU"/>
        </w:rPr>
        <w:lastRenderedPageBreak/>
        <w:t>информации в 2012 году были решены проблемы доказывания ФСФР и ее территориальным</w:t>
      </w:r>
      <w:r w:rsidR="00663AFF" w:rsidRPr="000160C5">
        <w:rPr>
          <w:rFonts w:cs="Times New Roman"/>
          <w:szCs w:val="28"/>
          <w:lang w:val="ru-RU"/>
        </w:rPr>
        <w:t>и</w:t>
      </w:r>
      <w:r w:rsidRPr="000160C5">
        <w:rPr>
          <w:rFonts w:cs="Times New Roman"/>
          <w:szCs w:val="28"/>
          <w:lang w:val="ru-RU"/>
        </w:rPr>
        <w:t xml:space="preserve"> органами факта отсутствия </w:t>
      </w:r>
      <w:r w:rsidR="005234AF">
        <w:rPr>
          <w:rFonts w:cs="Times New Roman"/>
          <w:szCs w:val="28"/>
          <w:lang w:val="ru-RU"/>
        </w:rPr>
        <w:t xml:space="preserve">на странице в сети Интернет </w:t>
      </w:r>
      <w:r w:rsidR="00EB4455">
        <w:rPr>
          <w:rFonts w:cs="Times New Roman"/>
          <w:szCs w:val="28"/>
          <w:lang w:val="ru-RU"/>
        </w:rPr>
        <w:t>раскрываемой</w:t>
      </w:r>
      <w:r w:rsidRPr="000160C5">
        <w:rPr>
          <w:rFonts w:cs="Times New Roman"/>
          <w:szCs w:val="28"/>
          <w:lang w:val="ru-RU"/>
        </w:rPr>
        <w:t xml:space="preserve"> информации или раскрытия ее не в том виде и (или) с нарушением предусмотренного порядка.</w:t>
      </w:r>
      <w:proofErr w:type="gramEnd"/>
      <w:r w:rsidRPr="000160C5">
        <w:rPr>
          <w:rFonts w:cs="Times New Roman"/>
          <w:szCs w:val="28"/>
          <w:lang w:val="ru-RU"/>
        </w:rPr>
        <w:t xml:space="preserve"> Если </w:t>
      </w:r>
      <w:r w:rsidR="00E66A6F" w:rsidRPr="000160C5">
        <w:rPr>
          <w:rFonts w:cs="Times New Roman"/>
          <w:szCs w:val="28"/>
          <w:lang w:val="ru-RU"/>
        </w:rPr>
        <w:t xml:space="preserve">в соответствии с предыдущим положением о раскрытии информации эмитенты </w:t>
      </w:r>
      <w:r w:rsidR="00EB4455">
        <w:rPr>
          <w:rFonts w:cs="Times New Roman"/>
          <w:szCs w:val="28"/>
          <w:lang w:val="ru-RU"/>
        </w:rPr>
        <w:t>публиковали</w:t>
      </w:r>
      <w:r w:rsidR="00E66A6F" w:rsidRPr="000160C5">
        <w:rPr>
          <w:rFonts w:cs="Times New Roman"/>
          <w:szCs w:val="28"/>
          <w:lang w:val="ru-RU"/>
        </w:rPr>
        <w:t xml:space="preserve"> </w:t>
      </w:r>
      <w:proofErr w:type="gramStart"/>
      <w:r w:rsidR="00E66A6F" w:rsidRPr="000160C5">
        <w:rPr>
          <w:rFonts w:cs="Times New Roman"/>
          <w:szCs w:val="28"/>
          <w:lang w:val="ru-RU"/>
        </w:rPr>
        <w:t>информацию</w:t>
      </w:r>
      <w:proofErr w:type="gramEnd"/>
      <w:r w:rsidR="00E66A6F" w:rsidRPr="000160C5">
        <w:rPr>
          <w:rFonts w:cs="Times New Roman"/>
          <w:szCs w:val="28"/>
          <w:lang w:val="ru-RU"/>
        </w:rPr>
        <w:t xml:space="preserve"> </w:t>
      </w:r>
      <w:r w:rsidR="0081025D" w:rsidRPr="000160C5">
        <w:rPr>
          <w:rFonts w:cs="Times New Roman"/>
          <w:szCs w:val="28"/>
          <w:lang w:val="ru-RU"/>
        </w:rPr>
        <w:t xml:space="preserve">как на </w:t>
      </w:r>
      <w:r w:rsidR="00E66A6F" w:rsidRPr="000160C5">
        <w:rPr>
          <w:rFonts w:cs="Times New Roman"/>
          <w:szCs w:val="28"/>
          <w:lang w:val="ru-RU"/>
        </w:rPr>
        <w:t>с</w:t>
      </w:r>
      <w:r w:rsidR="0081025D" w:rsidRPr="000160C5">
        <w:rPr>
          <w:rFonts w:cs="Times New Roman"/>
          <w:szCs w:val="28"/>
          <w:lang w:val="ru-RU"/>
        </w:rPr>
        <w:t>воих сайтах, так и на любом ином сайте</w:t>
      </w:r>
      <w:r w:rsidR="00E66A6F" w:rsidRPr="000160C5">
        <w:rPr>
          <w:rFonts w:cs="Times New Roman"/>
          <w:szCs w:val="28"/>
          <w:lang w:val="ru-RU"/>
        </w:rPr>
        <w:t xml:space="preserve"> в сети Интернет,</w:t>
      </w:r>
      <w:r w:rsidR="0081025D" w:rsidRPr="000160C5">
        <w:rPr>
          <w:rFonts w:cs="Times New Roman"/>
          <w:szCs w:val="28"/>
          <w:lang w:val="ru-RU"/>
        </w:rPr>
        <w:t xml:space="preserve"> то действующее Положение обязывает эмитентов раскрывать информацию </w:t>
      </w:r>
      <w:r w:rsidR="003C48D0" w:rsidRPr="000160C5">
        <w:rPr>
          <w:rFonts w:cs="Times New Roman"/>
          <w:szCs w:val="28"/>
          <w:lang w:val="ru-RU"/>
        </w:rPr>
        <w:t xml:space="preserve">только </w:t>
      </w:r>
      <w:r w:rsidR="0081025D" w:rsidRPr="000160C5">
        <w:rPr>
          <w:rFonts w:cs="Times New Roman"/>
          <w:szCs w:val="28"/>
          <w:lang w:val="ru-RU"/>
        </w:rPr>
        <w:t>на странице в сети Интернет, предоставляем</w:t>
      </w:r>
      <w:r w:rsidR="00EB4455">
        <w:rPr>
          <w:rFonts w:cs="Times New Roman"/>
          <w:szCs w:val="28"/>
          <w:lang w:val="ru-RU"/>
        </w:rPr>
        <w:t>ой</w:t>
      </w:r>
      <w:r w:rsidR="0081025D" w:rsidRPr="000160C5">
        <w:rPr>
          <w:rFonts w:cs="Times New Roman"/>
          <w:szCs w:val="28"/>
          <w:lang w:val="ru-RU"/>
        </w:rPr>
        <w:t xml:space="preserve"> одним из </w:t>
      </w:r>
      <w:r w:rsidR="005234AF">
        <w:rPr>
          <w:rFonts w:cs="Times New Roman"/>
          <w:szCs w:val="28"/>
          <w:lang w:val="ru-RU"/>
        </w:rPr>
        <w:t xml:space="preserve">пяти </w:t>
      </w:r>
      <w:r w:rsidR="0081025D" w:rsidRPr="000160C5">
        <w:rPr>
          <w:rFonts w:cs="Times New Roman"/>
          <w:szCs w:val="28"/>
          <w:lang w:val="ru-RU"/>
        </w:rPr>
        <w:t xml:space="preserve">уполномоченных информационных агентств. </w:t>
      </w:r>
    </w:p>
    <w:p w:rsidR="0081025D" w:rsidRPr="000160C5" w:rsidRDefault="00663AFF" w:rsidP="001E202B">
      <w:pPr>
        <w:pStyle w:val="TNR14"/>
        <w:rPr>
          <w:rFonts w:cs="Times New Roman"/>
          <w:szCs w:val="28"/>
          <w:lang w:val="ru-RU"/>
        </w:rPr>
      </w:pPr>
      <w:r w:rsidRPr="000160C5">
        <w:rPr>
          <w:rFonts w:cs="Times New Roman"/>
          <w:szCs w:val="28"/>
          <w:lang w:val="ru-RU"/>
        </w:rPr>
        <w:t xml:space="preserve">В связи с указанным требованием меняются технические возможности ФСФР в части отслеживания раскрываемой информации. </w:t>
      </w:r>
      <w:r w:rsidR="00D95572" w:rsidRPr="000160C5">
        <w:rPr>
          <w:rFonts w:cs="Times New Roman"/>
          <w:szCs w:val="28"/>
          <w:lang w:val="ru-RU"/>
        </w:rPr>
        <w:t>Р</w:t>
      </w:r>
      <w:r w:rsidR="0081025D" w:rsidRPr="000160C5">
        <w:rPr>
          <w:rFonts w:cs="Times New Roman"/>
          <w:szCs w:val="28"/>
          <w:lang w:val="ru-RU"/>
        </w:rPr>
        <w:t>аньше для привлечения эмитента к ответственности за нарушени</w:t>
      </w:r>
      <w:r w:rsidRPr="000160C5">
        <w:rPr>
          <w:rFonts w:cs="Times New Roman"/>
          <w:szCs w:val="28"/>
          <w:lang w:val="ru-RU"/>
        </w:rPr>
        <w:t>е</w:t>
      </w:r>
      <w:r w:rsidR="0081025D" w:rsidRPr="000160C5">
        <w:rPr>
          <w:rFonts w:cs="Times New Roman"/>
          <w:szCs w:val="28"/>
          <w:lang w:val="ru-RU"/>
        </w:rPr>
        <w:t xml:space="preserve"> порядка, сроков и полноты раскрытия информации на странице в сети Интернет ФСФР прибегала к сложной системе доказывания фактов отсутствия такой информации либо</w:t>
      </w:r>
      <w:r w:rsidR="00D95572" w:rsidRPr="000160C5">
        <w:rPr>
          <w:rFonts w:cs="Times New Roman"/>
          <w:szCs w:val="28"/>
          <w:lang w:val="ru-RU"/>
        </w:rPr>
        <w:t xml:space="preserve"> раскрытия ее с нарушением сроков и порядка. </w:t>
      </w:r>
      <w:proofErr w:type="gramStart"/>
      <w:r w:rsidR="00D95572" w:rsidRPr="000160C5">
        <w:rPr>
          <w:rFonts w:cs="Times New Roman"/>
          <w:szCs w:val="28"/>
          <w:lang w:val="ru-RU"/>
        </w:rPr>
        <w:t>Так, например, территориальным отделением ФСФР в Нижнем Новгороде использовалась практика привлечения Интернет-</w:t>
      </w:r>
      <w:r w:rsidR="0081025D" w:rsidRPr="000160C5">
        <w:rPr>
          <w:rFonts w:cs="Times New Roman"/>
          <w:szCs w:val="28"/>
          <w:lang w:val="ru-RU"/>
        </w:rPr>
        <w:t xml:space="preserve">специалистов и нотариусов для заверения вида и содержания </w:t>
      </w:r>
      <w:r w:rsidR="00D95572" w:rsidRPr="000160C5">
        <w:rPr>
          <w:rFonts w:cs="Times New Roman"/>
          <w:szCs w:val="28"/>
          <w:lang w:val="ru-RU"/>
        </w:rPr>
        <w:t>страниц эмитентов в сети Интернет по состоянию на определенную дату</w:t>
      </w:r>
      <w:r w:rsidR="00A87611" w:rsidRPr="000160C5">
        <w:rPr>
          <w:rFonts w:cs="Times New Roman"/>
          <w:szCs w:val="28"/>
          <w:lang w:val="ru-RU"/>
        </w:rPr>
        <w:t xml:space="preserve"> (т.н. функция «</w:t>
      </w:r>
      <w:proofErr w:type="spellStart"/>
      <w:r w:rsidR="00A87611" w:rsidRPr="000160C5">
        <w:rPr>
          <w:rFonts w:cs="Times New Roman"/>
          <w:szCs w:val="28"/>
          <w:lang w:val="ru-RU"/>
        </w:rPr>
        <w:t>принтскрин</w:t>
      </w:r>
      <w:proofErr w:type="spellEnd"/>
      <w:r w:rsidR="00A87611" w:rsidRPr="000160C5">
        <w:rPr>
          <w:rFonts w:cs="Times New Roman"/>
          <w:szCs w:val="28"/>
          <w:lang w:val="ru-RU"/>
        </w:rPr>
        <w:t>»)</w:t>
      </w:r>
      <w:r w:rsidR="00D95572" w:rsidRPr="000160C5">
        <w:rPr>
          <w:rFonts w:cs="Times New Roman"/>
          <w:szCs w:val="28"/>
          <w:lang w:val="ru-RU"/>
        </w:rPr>
        <w:t xml:space="preserve"> для целей подтверждения своей позиции в суде на случай, если эмитенты впоследствии исправят допущенные ими нарушения или разместят неопубликованную ранее информацию.</w:t>
      </w:r>
      <w:proofErr w:type="gramEnd"/>
      <w:r w:rsidR="00D95572" w:rsidRPr="000160C5">
        <w:rPr>
          <w:rFonts w:cs="Times New Roman"/>
          <w:szCs w:val="28"/>
          <w:lang w:val="ru-RU"/>
        </w:rPr>
        <w:t xml:space="preserve"> Текущая редакция Положения о раскрытии информации позволяет ФСФР контролировать точный порядок и объем раскрытия информации через уполномоченные информационные агентства без привлечен</w:t>
      </w:r>
      <w:r w:rsidR="00DF1C6B" w:rsidRPr="000160C5">
        <w:rPr>
          <w:rFonts w:cs="Times New Roman"/>
          <w:szCs w:val="28"/>
          <w:lang w:val="ru-RU"/>
        </w:rPr>
        <w:t xml:space="preserve">ия дополнительных специалистов, поскольку интерфейс страницы подразумевает автоматическое присвоение даты и времени в момент размещения информации, таким </w:t>
      </w:r>
      <w:proofErr w:type="gramStart"/>
      <w:r w:rsidR="00DF1C6B" w:rsidRPr="000160C5">
        <w:rPr>
          <w:rFonts w:cs="Times New Roman"/>
          <w:szCs w:val="28"/>
          <w:lang w:val="ru-RU"/>
        </w:rPr>
        <w:t>образом</w:t>
      </w:r>
      <w:proofErr w:type="gramEnd"/>
      <w:r w:rsidR="00DF1C6B" w:rsidRPr="000160C5">
        <w:rPr>
          <w:rFonts w:cs="Times New Roman"/>
          <w:szCs w:val="28"/>
          <w:lang w:val="ru-RU"/>
        </w:rPr>
        <w:t xml:space="preserve"> позволяя отследить всю историю </w:t>
      </w:r>
      <w:r w:rsidR="00DF1C6B" w:rsidRPr="000160C5">
        <w:rPr>
          <w:rFonts w:cs="Times New Roman"/>
          <w:szCs w:val="28"/>
          <w:lang w:val="ru-RU"/>
        </w:rPr>
        <w:lastRenderedPageBreak/>
        <w:t>опубликования информации эмитентом без использования дополнительных средств</w:t>
      </w:r>
      <w:r w:rsidR="00702DEE" w:rsidRPr="000160C5">
        <w:rPr>
          <w:rStyle w:val="a9"/>
          <w:rFonts w:cs="Times New Roman"/>
          <w:szCs w:val="28"/>
          <w:lang w:val="ru-RU"/>
        </w:rPr>
        <w:footnoteReference w:id="69"/>
      </w:r>
      <w:r w:rsidR="00DF1C6B" w:rsidRPr="000160C5">
        <w:rPr>
          <w:rFonts w:cs="Times New Roman"/>
          <w:szCs w:val="28"/>
          <w:lang w:val="ru-RU"/>
        </w:rPr>
        <w:t>.</w:t>
      </w:r>
    </w:p>
    <w:p w:rsidR="00702DEE" w:rsidRPr="000160C5" w:rsidRDefault="00702DEE" w:rsidP="001E202B">
      <w:pPr>
        <w:pStyle w:val="TNR14"/>
        <w:rPr>
          <w:rFonts w:cs="Times New Roman"/>
          <w:szCs w:val="28"/>
          <w:lang w:val="ru-RU"/>
        </w:rPr>
      </w:pPr>
      <w:proofErr w:type="gramStart"/>
      <w:r w:rsidRPr="000160C5">
        <w:rPr>
          <w:rFonts w:cs="Times New Roman"/>
          <w:szCs w:val="28"/>
          <w:lang w:val="ru-RU"/>
        </w:rPr>
        <w:t>Таким образом, учитывая технические возможности ФСФР в контексте действующего Положения о раскрытии информации, а также сроки давности привлечения к ответственности (один год в противовес двухмесячному сроку по общему правилу согласно статье 4.5 КоАП)</w:t>
      </w:r>
      <w:r w:rsidR="00794340" w:rsidRPr="000160C5">
        <w:rPr>
          <w:rFonts w:cs="Times New Roman"/>
          <w:szCs w:val="28"/>
          <w:lang w:val="ru-RU"/>
        </w:rPr>
        <w:t xml:space="preserve">, любые отступления эмитента от предписанного порядка раскрытия информации при определенном внимании ФСФР могут </w:t>
      </w:r>
      <w:r w:rsidR="007B50E4" w:rsidRPr="000160C5">
        <w:rPr>
          <w:rFonts w:cs="Times New Roman"/>
          <w:szCs w:val="28"/>
          <w:lang w:val="ru-RU"/>
        </w:rPr>
        <w:t>привести к росту привлечения нарушителей к ответственности по части 2 статьи 15.19 КоАП.</w:t>
      </w:r>
      <w:proofErr w:type="gramEnd"/>
    </w:p>
    <w:p w:rsidR="00DB6C18" w:rsidRPr="000160C5" w:rsidRDefault="00EA542A" w:rsidP="00EA542A">
      <w:pPr>
        <w:pStyle w:val="3"/>
        <w:rPr>
          <w:rFonts w:cs="Times New Roman"/>
          <w:szCs w:val="28"/>
        </w:rPr>
      </w:pPr>
      <w:bookmarkStart w:id="19" w:name="_Toc356162059"/>
      <w:r w:rsidRPr="000160C5">
        <w:rPr>
          <w:rFonts w:cs="Times New Roman"/>
          <w:szCs w:val="28"/>
        </w:rPr>
        <w:t>§1.3 Раскрытие эмитентом информации в неполном объеме</w:t>
      </w:r>
      <w:bookmarkEnd w:id="19"/>
    </w:p>
    <w:p w:rsidR="00DB6C18" w:rsidRPr="000160C5" w:rsidRDefault="00DB6C18" w:rsidP="00244F11">
      <w:pPr>
        <w:pStyle w:val="TNR14"/>
        <w:rPr>
          <w:rFonts w:cs="Times New Roman"/>
          <w:b/>
          <w:bCs/>
          <w:szCs w:val="28"/>
          <w:lang w:val="ru-RU"/>
        </w:rPr>
      </w:pPr>
      <w:r w:rsidRPr="000160C5">
        <w:rPr>
          <w:rFonts w:cs="Times New Roman"/>
          <w:szCs w:val="28"/>
          <w:lang w:val="ru-RU"/>
        </w:rPr>
        <w:t>Помимо неисполнения обязанности по раскрытию информации вовсе,</w:t>
      </w:r>
      <w:r w:rsidR="004F3557" w:rsidRPr="000160C5">
        <w:rPr>
          <w:rFonts w:cs="Times New Roman"/>
          <w:szCs w:val="28"/>
          <w:lang w:val="ru-RU"/>
        </w:rPr>
        <w:t xml:space="preserve"> а также ненадлежащего исполнения обязанности  </w:t>
      </w:r>
      <w:r w:rsidR="001F6A54" w:rsidRPr="000160C5">
        <w:rPr>
          <w:rFonts w:cs="Times New Roman"/>
          <w:szCs w:val="28"/>
          <w:lang w:val="ru-RU"/>
        </w:rPr>
        <w:t>с</w:t>
      </w:r>
      <w:r w:rsidR="004F3557" w:rsidRPr="000160C5">
        <w:rPr>
          <w:rFonts w:cs="Times New Roman"/>
          <w:szCs w:val="28"/>
          <w:lang w:val="ru-RU"/>
        </w:rPr>
        <w:t xml:space="preserve"> нарушени</w:t>
      </w:r>
      <w:r w:rsidR="001F6A54" w:rsidRPr="000160C5">
        <w:rPr>
          <w:rFonts w:cs="Times New Roman"/>
          <w:szCs w:val="28"/>
          <w:lang w:val="ru-RU"/>
        </w:rPr>
        <w:t>ем</w:t>
      </w:r>
      <w:r w:rsidR="004F3557" w:rsidRPr="000160C5">
        <w:rPr>
          <w:rFonts w:cs="Times New Roman"/>
          <w:szCs w:val="28"/>
          <w:lang w:val="ru-RU"/>
        </w:rPr>
        <w:t xml:space="preserve"> порядка и сроков раскрытия, </w:t>
      </w:r>
      <w:r w:rsidR="000F7992" w:rsidRPr="000160C5">
        <w:rPr>
          <w:rFonts w:cs="Times New Roman"/>
          <w:szCs w:val="28"/>
          <w:lang w:val="ru-RU"/>
        </w:rPr>
        <w:t xml:space="preserve">информация может быть раскрыта </w:t>
      </w:r>
      <w:r w:rsidRPr="000160C5">
        <w:rPr>
          <w:rFonts w:cs="Times New Roman"/>
          <w:szCs w:val="28"/>
          <w:lang w:val="ru-RU"/>
        </w:rPr>
        <w:t>эмитентом не</w:t>
      </w:r>
      <w:r w:rsidR="000F7992" w:rsidRPr="000160C5">
        <w:rPr>
          <w:rFonts w:cs="Times New Roman"/>
          <w:szCs w:val="28"/>
          <w:lang w:val="ru-RU"/>
        </w:rPr>
        <w:t xml:space="preserve"> в </w:t>
      </w:r>
      <w:r w:rsidRPr="000160C5">
        <w:rPr>
          <w:rFonts w:cs="Times New Roman"/>
          <w:szCs w:val="28"/>
          <w:lang w:val="ru-RU"/>
        </w:rPr>
        <w:t>полно</w:t>
      </w:r>
      <w:r w:rsidR="000F7992" w:rsidRPr="000160C5">
        <w:rPr>
          <w:rFonts w:cs="Times New Roman"/>
          <w:szCs w:val="28"/>
          <w:lang w:val="ru-RU"/>
        </w:rPr>
        <w:t>м объеме</w:t>
      </w:r>
      <w:r w:rsidR="00AA645B" w:rsidRPr="000160C5">
        <w:rPr>
          <w:rFonts w:cs="Times New Roman"/>
          <w:szCs w:val="28"/>
          <w:lang w:val="ru-RU"/>
        </w:rPr>
        <w:t>.</w:t>
      </w:r>
      <w:r w:rsidRPr="000160C5">
        <w:rPr>
          <w:rFonts w:cs="Times New Roman"/>
          <w:szCs w:val="28"/>
          <w:lang w:val="ru-RU"/>
        </w:rPr>
        <w:t xml:space="preserve"> </w:t>
      </w:r>
    </w:p>
    <w:p w:rsidR="00AA645B" w:rsidRPr="000160C5" w:rsidRDefault="00F550AA" w:rsidP="001E202B">
      <w:pPr>
        <w:pStyle w:val="TNR14"/>
        <w:rPr>
          <w:rFonts w:cs="Times New Roman"/>
          <w:szCs w:val="28"/>
          <w:lang w:val="ru-RU"/>
        </w:rPr>
      </w:pPr>
      <w:r w:rsidRPr="000160C5">
        <w:rPr>
          <w:rFonts w:cs="Times New Roman"/>
          <w:szCs w:val="28"/>
          <w:lang w:val="ru-RU"/>
        </w:rPr>
        <w:t xml:space="preserve">Состав информации, подлежащей раскрытию эмитентом, </w:t>
      </w:r>
      <w:r w:rsidR="00AA645B" w:rsidRPr="000160C5">
        <w:rPr>
          <w:rFonts w:cs="Times New Roman"/>
          <w:szCs w:val="28"/>
          <w:lang w:val="ru-RU"/>
        </w:rPr>
        <w:t xml:space="preserve">определяется Законом о РЦБ, а также Положением о раскрытии информации, на которое ссылается указанный закон. В связи с этим раскрытие информации не в полном объеме, то есть </w:t>
      </w:r>
      <w:r w:rsidR="00150ED6" w:rsidRPr="000160C5">
        <w:rPr>
          <w:rFonts w:cs="Times New Roman"/>
          <w:szCs w:val="28"/>
          <w:lang w:val="ru-RU"/>
        </w:rPr>
        <w:t>с нарушением требований</w:t>
      </w:r>
      <w:r w:rsidR="001F6A54" w:rsidRPr="000160C5">
        <w:rPr>
          <w:rFonts w:cs="Times New Roman"/>
          <w:szCs w:val="28"/>
          <w:lang w:val="ru-RU"/>
        </w:rPr>
        <w:t>,</w:t>
      </w:r>
      <w:r w:rsidR="00AA645B" w:rsidRPr="000160C5">
        <w:rPr>
          <w:rFonts w:cs="Times New Roman"/>
          <w:szCs w:val="28"/>
          <w:lang w:val="ru-RU"/>
        </w:rPr>
        <w:t xml:space="preserve"> предусмотренн</w:t>
      </w:r>
      <w:r w:rsidR="00150ED6" w:rsidRPr="000160C5">
        <w:rPr>
          <w:rFonts w:cs="Times New Roman"/>
          <w:szCs w:val="28"/>
          <w:lang w:val="ru-RU"/>
        </w:rPr>
        <w:t>ых</w:t>
      </w:r>
      <w:r w:rsidR="00AA645B" w:rsidRPr="000160C5">
        <w:rPr>
          <w:rFonts w:cs="Times New Roman"/>
          <w:szCs w:val="28"/>
          <w:lang w:val="ru-RU"/>
        </w:rPr>
        <w:t xml:space="preserve"> законом и положением, может квалифицироваться в качестве правонарушения по части 2 статьи 15.</w:t>
      </w:r>
      <w:r w:rsidR="00F45BD7" w:rsidRPr="000160C5">
        <w:rPr>
          <w:rFonts w:cs="Times New Roman"/>
          <w:szCs w:val="28"/>
          <w:lang w:val="ru-RU"/>
        </w:rPr>
        <w:t>19</w:t>
      </w:r>
      <w:r w:rsidR="00AA645B" w:rsidRPr="000160C5">
        <w:rPr>
          <w:rFonts w:cs="Times New Roman"/>
          <w:szCs w:val="28"/>
          <w:lang w:val="ru-RU"/>
        </w:rPr>
        <w:t xml:space="preserve"> КоАП.</w:t>
      </w:r>
    </w:p>
    <w:p w:rsidR="007067C0" w:rsidRPr="000160C5" w:rsidRDefault="00F24D3B" w:rsidP="001E202B">
      <w:pPr>
        <w:pStyle w:val="TNR14"/>
        <w:rPr>
          <w:rFonts w:cs="Times New Roman"/>
          <w:szCs w:val="28"/>
          <w:lang w:val="ru-RU"/>
        </w:rPr>
      </w:pPr>
      <w:proofErr w:type="gramStart"/>
      <w:r w:rsidRPr="000160C5">
        <w:rPr>
          <w:rFonts w:cs="Times New Roman"/>
          <w:szCs w:val="28"/>
          <w:lang w:val="ru-RU"/>
        </w:rPr>
        <w:t xml:space="preserve">На основе анализа судебной практики по делам об оспаривании ненормативных актов ФСФР автором настоящей работы был сделан </w:t>
      </w:r>
      <w:r w:rsidR="00360F3E" w:rsidRPr="000160C5">
        <w:rPr>
          <w:rFonts w:cs="Times New Roman"/>
          <w:szCs w:val="28"/>
          <w:lang w:val="ru-RU"/>
        </w:rPr>
        <w:t>обзор</w:t>
      </w:r>
      <w:r w:rsidRPr="000160C5">
        <w:rPr>
          <w:rFonts w:cs="Times New Roman"/>
          <w:szCs w:val="28"/>
          <w:lang w:val="ru-RU"/>
        </w:rPr>
        <w:t xml:space="preserve">  следующих</w:t>
      </w:r>
      <w:r w:rsidR="00360F3E" w:rsidRPr="000160C5">
        <w:rPr>
          <w:rFonts w:cs="Times New Roman"/>
          <w:szCs w:val="28"/>
          <w:lang w:val="ru-RU"/>
        </w:rPr>
        <w:t xml:space="preserve"> наиболее встречающихся нарушений</w:t>
      </w:r>
      <w:r w:rsidRPr="000160C5">
        <w:rPr>
          <w:rFonts w:cs="Times New Roman"/>
          <w:szCs w:val="28"/>
          <w:lang w:val="ru-RU"/>
        </w:rPr>
        <w:t xml:space="preserve"> эмитент</w:t>
      </w:r>
      <w:r w:rsidR="00360F3E" w:rsidRPr="000160C5">
        <w:rPr>
          <w:rFonts w:cs="Times New Roman"/>
          <w:szCs w:val="28"/>
          <w:lang w:val="ru-RU"/>
        </w:rPr>
        <w:t>ов</w:t>
      </w:r>
      <w:r w:rsidRPr="000160C5">
        <w:rPr>
          <w:rFonts w:cs="Times New Roman"/>
          <w:szCs w:val="28"/>
          <w:lang w:val="ru-RU"/>
        </w:rPr>
        <w:t xml:space="preserve"> в части полноты раскрытия информации: опубликование годового отчета не в полном объеме</w:t>
      </w:r>
      <w:r w:rsidRPr="000160C5">
        <w:rPr>
          <w:rStyle w:val="a9"/>
          <w:rFonts w:cs="Times New Roman"/>
          <w:szCs w:val="28"/>
          <w:lang w:val="ru-RU"/>
        </w:rPr>
        <w:footnoteReference w:id="70"/>
      </w:r>
      <w:r w:rsidRPr="000160C5">
        <w:rPr>
          <w:rFonts w:cs="Times New Roman"/>
          <w:szCs w:val="28"/>
          <w:lang w:val="ru-RU"/>
        </w:rPr>
        <w:t xml:space="preserve">, </w:t>
      </w:r>
      <w:r w:rsidR="002C6414" w:rsidRPr="000160C5">
        <w:rPr>
          <w:rFonts w:cs="Times New Roman"/>
          <w:szCs w:val="28"/>
          <w:lang w:val="ru-RU"/>
        </w:rPr>
        <w:t>опубликование ежеквартального отчета не в полном объеме (отсутствие пояснительной записки к годовой бухгалтерской отчетности, которая должна быть включена в ежеквартальный отчет за первый квартал</w:t>
      </w:r>
      <w:r w:rsidR="002C6414" w:rsidRPr="000160C5">
        <w:rPr>
          <w:rStyle w:val="a9"/>
          <w:rFonts w:cs="Times New Roman"/>
          <w:szCs w:val="28"/>
          <w:lang w:val="ru-RU"/>
        </w:rPr>
        <w:footnoteReference w:id="71"/>
      </w:r>
      <w:r w:rsidR="00F0360E" w:rsidRPr="000160C5">
        <w:rPr>
          <w:rFonts w:cs="Times New Roman"/>
          <w:szCs w:val="28"/>
          <w:lang w:val="ru-RU"/>
        </w:rPr>
        <w:t xml:space="preserve">, </w:t>
      </w:r>
      <w:r w:rsidR="00F0360E" w:rsidRPr="000160C5">
        <w:rPr>
          <w:rFonts w:cs="Times New Roman"/>
          <w:szCs w:val="28"/>
          <w:lang w:val="ru-RU"/>
        </w:rPr>
        <w:lastRenderedPageBreak/>
        <w:t>отсутствие</w:t>
      </w:r>
      <w:proofErr w:type="gramEnd"/>
      <w:r w:rsidR="00F0360E" w:rsidRPr="000160C5">
        <w:rPr>
          <w:rFonts w:cs="Times New Roman"/>
          <w:szCs w:val="28"/>
          <w:lang w:val="ru-RU"/>
        </w:rPr>
        <w:t xml:space="preserve"> информации о стоимости чистых активов</w:t>
      </w:r>
      <w:r w:rsidR="00F0360E" w:rsidRPr="000160C5">
        <w:rPr>
          <w:rStyle w:val="a9"/>
          <w:rFonts w:cs="Times New Roman"/>
          <w:szCs w:val="28"/>
          <w:lang w:val="ru-RU"/>
        </w:rPr>
        <w:footnoteReference w:id="72"/>
      </w:r>
      <w:r w:rsidR="00F0360E" w:rsidRPr="000160C5">
        <w:rPr>
          <w:rFonts w:cs="Times New Roman"/>
          <w:szCs w:val="28"/>
          <w:lang w:val="ru-RU"/>
        </w:rPr>
        <w:t>,</w:t>
      </w:r>
      <w:r w:rsidR="005215B4" w:rsidRPr="000160C5">
        <w:rPr>
          <w:rFonts w:cs="Times New Roman"/>
          <w:szCs w:val="28"/>
          <w:lang w:val="ru-RU"/>
        </w:rPr>
        <w:t xml:space="preserve"> отсутствие информации о планах эмитента получить лицензию на недропользование на имя других лиц</w:t>
      </w:r>
      <w:r w:rsidR="005215B4" w:rsidRPr="000160C5">
        <w:rPr>
          <w:rStyle w:val="a9"/>
          <w:rFonts w:cs="Times New Roman"/>
          <w:szCs w:val="28"/>
          <w:lang w:val="ru-RU"/>
        </w:rPr>
        <w:footnoteReference w:id="73"/>
      </w:r>
      <w:r w:rsidR="005215B4" w:rsidRPr="000160C5">
        <w:rPr>
          <w:rFonts w:cs="Times New Roman"/>
          <w:szCs w:val="28"/>
          <w:lang w:val="ru-RU"/>
        </w:rPr>
        <w:t>, о вознагражден</w:t>
      </w:r>
      <w:proofErr w:type="gramStart"/>
      <w:r w:rsidR="005215B4" w:rsidRPr="000160C5">
        <w:rPr>
          <w:rFonts w:cs="Times New Roman"/>
          <w:szCs w:val="28"/>
          <w:lang w:val="ru-RU"/>
        </w:rPr>
        <w:t>ии ау</w:t>
      </w:r>
      <w:proofErr w:type="gramEnd"/>
      <w:r w:rsidR="005215B4" w:rsidRPr="000160C5">
        <w:rPr>
          <w:rFonts w:cs="Times New Roman"/>
          <w:szCs w:val="28"/>
          <w:lang w:val="ru-RU"/>
        </w:rPr>
        <w:t>дитора, о сроках кредитов (займов) и сроках их погашения</w:t>
      </w:r>
      <w:r w:rsidR="005215B4" w:rsidRPr="000160C5">
        <w:rPr>
          <w:rStyle w:val="a9"/>
          <w:rFonts w:cs="Times New Roman"/>
          <w:szCs w:val="28"/>
          <w:lang w:val="ru-RU"/>
        </w:rPr>
        <w:footnoteReference w:id="74"/>
      </w:r>
      <w:r w:rsidR="007F13A1" w:rsidRPr="000160C5">
        <w:rPr>
          <w:rFonts w:cs="Times New Roman"/>
          <w:szCs w:val="28"/>
          <w:lang w:val="ru-RU"/>
        </w:rPr>
        <w:t>), отсутствие на странице в сети Интернет банковских реквизитов</w:t>
      </w:r>
      <w:r w:rsidR="007F13A1" w:rsidRPr="000160C5">
        <w:rPr>
          <w:rStyle w:val="a9"/>
          <w:rFonts w:cs="Times New Roman"/>
          <w:szCs w:val="28"/>
          <w:lang w:val="ru-RU"/>
        </w:rPr>
        <w:footnoteReference w:id="75"/>
      </w:r>
      <w:r w:rsidR="007067C0" w:rsidRPr="000160C5">
        <w:rPr>
          <w:rFonts w:cs="Times New Roman"/>
          <w:szCs w:val="28"/>
          <w:lang w:val="ru-RU"/>
        </w:rPr>
        <w:t>, раскрытие информации об аффилированных лицах не в полном объеме</w:t>
      </w:r>
      <w:r w:rsidR="007067C0" w:rsidRPr="000160C5">
        <w:rPr>
          <w:rStyle w:val="a9"/>
          <w:rFonts w:cs="Times New Roman"/>
          <w:szCs w:val="28"/>
          <w:lang w:val="ru-RU"/>
        </w:rPr>
        <w:footnoteReference w:id="76"/>
      </w:r>
      <w:r w:rsidR="007067C0" w:rsidRPr="000160C5">
        <w:rPr>
          <w:rFonts w:cs="Times New Roman"/>
          <w:szCs w:val="28"/>
          <w:lang w:val="ru-RU"/>
        </w:rPr>
        <w:t xml:space="preserve"> и пр.</w:t>
      </w:r>
    </w:p>
    <w:p w:rsidR="00150ED6" w:rsidRPr="000160C5" w:rsidRDefault="00150ED6" w:rsidP="001E202B">
      <w:pPr>
        <w:pStyle w:val="TNR14"/>
        <w:rPr>
          <w:rFonts w:cs="Times New Roman"/>
          <w:szCs w:val="28"/>
          <w:lang w:val="ru-RU"/>
        </w:rPr>
      </w:pPr>
      <w:r w:rsidRPr="000160C5">
        <w:rPr>
          <w:rFonts w:cs="Times New Roman"/>
          <w:szCs w:val="28"/>
          <w:lang w:val="ru-RU"/>
        </w:rPr>
        <w:t xml:space="preserve">Кроме того, часто эмитенты не подходят к подготовке ежеквартального и годового отчетов с должной степенью ответственности. </w:t>
      </w:r>
      <w:r w:rsidR="00936DC4" w:rsidRPr="000160C5">
        <w:rPr>
          <w:rFonts w:cs="Times New Roman"/>
          <w:szCs w:val="28"/>
          <w:lang w:val="ru-RU"/>
        </w:rPr>
        <w:t xml:space="preserve">В частности, </w:t>
      </w:r>
      <w:r w:rsidR="009648A0" w:rsidRPr="000160C5">
        <w:rPr>
          <w:rFonts w:cs="Times New Roman"/>
          <w:szCs w:val="28"/>
          <w:lang w:val="ru-RU"/>
        </w:rPr>
        <w:t xml:space="preserve">имеет место практика неполного заполнения </w:t>
      </w:r>
      <w:r w:rsidR="003D3ABB">
        <w:rPr>
          <w:rFonts w:cs="Times New Roman"/>
          <w:szCs w:val="28"/>
          <w:lang w:val="ru-RU"/>
        </w:rPr>
        <w:t xml:space="preserve">некоторых </w:t>
      </w:r>
      <w:r w:rsidR="009648A0" w:rsidRPr="000160C5">
        <w:rPr>
          <w:rFonts w:cs="Times New Roman"/>
          <w:szCs w:val="28"/>
          <w:lang w:val="ru-RU"/>
        </w:rPr>
        <w:t xml:space="preserve">пунктов ежеквартального отчета. Наиболее </w:t>
      </w:r>
      <w:r w:rsidR="003D3ABB">
        <w:rPr>
          <w:rFonts w:cs="Times New Roman"/>
          <w:szCs w:val="28"/>
          <w:lang w:val="ru-RU"/>
        </w:rPr>
        <w:t>встречающимся примером являе</w:t>
      </w:r>
      <w:r w:rsidR="009648A0" w:rsidRPr="000160C5">
        <w:rPr>
          <w:rFonts w:cs="Times New Roman"/>
          <w:szCs w:val="28"/>
          <w:lang w:val="ru-RU"/>
        </w:rPr>
        <w:t>тся отсутстви</w:t>
      </w:r>
      <w:r w:rsidR="003D3ABB">
        <w:rPr>
          <w:rFonts w:cs="Times New Roman"/>
          <w:szCs w:val="28"/>
          <w:lang w:val="ru-RU"/>
        </w:rPr>
        <w:t>е</w:t>
      </w:r>
      <w:r w:rsidR="009648A0" w:rsidRPr="000160C5">
        <w:rPr>
          <w:rFonts w:cs="Times New Roman"/>
          <w:szCs w:val="28"/>
          <w:lang w:val="ru-RU"/>
        </w:rPr>
        <w:t xml:space="preserve"> в ежеквартальн</w:t>
      </w:r>
      <w:r w:rsidR="003D3ABB">
        <w:rPr>
          <w:rFonts w:cs="Times New Roman"/>
          <w:szCs w:val="28"/>
          <w:lang w:val="ru-RU"/>
        </w:rPr>
        <w:t>ом</w:t>
      </w:r>
      <w:r w:rsidR="009648A0" w:rsidRPr="000160C5">
        <w:rPr>
          <w:rFonts w:cs="Times New Roman"/>
          <w:szCs w:val="28"/>
          <w:lang w:val="ru-RU"/>
        </w:rPr>
        <w:t xml:space="preserve"> отчет</w:t>
      </w:r>
      <w:r w:rsidR="003D3ABB">
        <w:rPr>
          <w:rFonts w:cs="Times New Roman"/>
          <w:szCs w:val="28"/>
          <w:lang w:val="ru-RU"/>
        </w:rPr>
        <w:t>е</w:t>
      </w:r>
      <w:r w:rsidR="009648A0" w:rsidRPr="000160C5">
        <w:rPr>
          <w:rFonts w:cs="Times New Roman"/>
          <w:szCs w:val="28"/>
          <w:lang w:val="ru-RU"/>
        </w:rPr>
        <w:t xml:space="preserve"> сведений о рисках акционерного общества, анализа деятельности акционерного общества в прошедших периодах, а также прогнозирования развития эмитента в будущем. Зачастую эмитенты выбрасыва</w:t>
      </w:r>
      <w:r w:rsidR="00360F3E" w:rsidRPr="000160C5">
        <w:rPr>
          <w:rFonts w:cs="Times New Roman"/>
          <w:szCs w:val="28"/>
          <w:lang w:val="ru-RU"/>
        </w:rPr>
        <w:t>ю</w:t>
      </w:r>
      <w:r w:rsidR="009648A0" w:rsidRPr="000160C5">
        <w:rPr>
          <w:rFonts w:cs="Times New Roman"/>
          <w:szCs w:val="28"/>
          <w:lang w:val="ru-RU"/>
        </w:rPr>
        <w:t>т целые разделы из ежек</w:t>
      </w:r>
      <w:r w:rsidR="00360F3E" w:rsidRPr="000160C5">
        <w:rPr>
          <w:rFonts w:cs="Times New Roman"/>
          <w:szCs w:val="28"/>
          <w:lang w:val="ru-RU"/>
        </w:rPr>
        <w:t>вартального отчета либо оставляю</w:t>
      </w:r>
      <w:r w:rsidR="009648A0" w:rsidRPr="000160C5">
        <w:rPr>
          <w:rFonts w:cs="Times New Roman"/>
          <w:szCs w:val="28"/>
          <w:lang w:val="ru-RU"/>
        </w:rPr>
        <w:t>т их незаполненными</w:t>
      </w:r>
      <w:r w:rsidR="009648A0" w:rsidRPr="000160C5">
        <w:rPr>
          <w:rStyle w:val="a9"/>
          <w:rFonts w:cs="Times New Roman"/>
          <w:szCs w:val="28"/>
          <w:lang w:val="ru-RU"/>
        </w:rPr>
        <w:footnoteReference w:id="77"/>
      </w:r>
      <w:r w:rsidR="009648A0" w:rsidRPr="000160C5">
        <w:rPr>
          <w:rFonts w:cs="Times New Roman"/>
          <w:szCs w:val="28"/>
          <w:lang w:val="ru-RU"/>
        </w:rPr>
        <w:t>.</w:t>
      </w:r>
    </w:p>
    <w:p w:rsidR="009648A0" w:rsidRPr="000160C5" w:rsidRDefault="009648A0" w:rsidP="001E202B">
      <w:pPr>
        <w:pStyle w:val="TNR14"/>
        <w:rPr>
          <w:rFonts w:cs="Times New Roman"/>
          <w:szCs w:val="28"/>
          <w:lang w:val="ru-RU"/>
        </w:rPr>
      </w:pPr>
      <w:r w:rsidRPr="000160C5">
        <w:rPr>
          <w:rFonts w:cs="Times New Roman"/>
          <w:szCs w:val="28"/>
          <w:lang w:val="ru-RU"/>
        </w:rPr>
        <w:t>Стоит отметить, что</w:t>
      </w:r>
      <w:r w:rsidR="00677BA9">
        <w:rPr>
          <w:rFonts w:cs="Times New Roman"/>
          <w:szCs w:val="28"/>
          <w:lang w:val="ru-RU"/>
        </w:rPr>
        <w:t>,</w:t>
      </w:r>
      <w:r w:rsidRPr="000160C5">
        <w:rPr>
          <w:rFonts w:cs="Times New Roman"/>
          <w:szCs w:val="28"/>
          <w:lang w:val="ru-RU"/>
        </w:rPr>
        <w:t xml:space="preserve"> </w:t>
      </w:r>
      <w:r w:rsidR="00360F3E" w:rsidRPr="000160C5">
        <w:rPr>
          <w:rFonts w:cs="Times New Roman"/>
          <w:szCs w:val="28"/>
          <w:lang w:val="ru-RU"/>
        </w:rPr>
        <w:t xml:space="preserve">по мнению автора, </w:t>
      </w:r>
      <w:r w:rsidR="003C22E5" w:rsidRPr="000160C5">
        <w:rPr>
          <w:rFonts w:cs="Times New Roman"/>
          <w:szCs w:val="28"/>
          <w:lang w:val="ru-RU"/>
        </w:rPr>
        <w:t>состав информации, подлежащей раскрытию в рамках ежеквартального отчета, в действительности является в некоторой части избыточным, а именно ежеквартальный отчет эмитента содержит много информации, которая не</w:t>
      </w:r>
      <w:r w:rsidR="00C40592" w:rsidRPr="000160C5">
        <w:rPr>
          <w:rFonts w:cs="Times New Roman"/>
          <w:szCs w:val="28"/>
          <w:lang w:val="ru-RU"/>
        </w:rPr>
        <w:t xml:space="preserve"> несет для инвестора особой смы</w:t>
      </w:r>
      <w:r w:rsidR="003C22E5" w:rsidRPr="000160C5">
        <w:rPr>
          <w:rFonts w:cs="Times New Roman"/>
          <w:szCs w:val="28"/>
          <w:lang w:val="ru-RU"/>
        </w:rPr>
        <w:t>словой нагрузки, а только нагромождает отчет лишним объемом, делая его тем самым тяжелым для восприятия. Автор работы полагает, что это является одной из причин неполного раскрытия ежеквартального отчета эмитента.</w:t>
      </w:r>
      <w:r w:rsidR="00360F3E" w:rsidRPr="000160C5">
        <w:rPr>
          <w:rFonts w:cs="Times New Roman"/>
          <w:szCs w:val="28"/>
          <w:lang w:val="ru-RU"/>
        </w:rPr>
        <w:t xml:space="preserve"> Кроме того, как уже было отмечено выше, </w:t>
      </w:r>
      <w:proofErr w:type="gramStart"/>
      <w:r w:rsidR="00360F3E" w:rsidRPr="000160C5">
        <w:rPr>
          <w:rFonts w:cs="Times New Roman"/>
          <w:szCs w:val="28"/>
          <w:lang w:val="ru-RU"/>
        </w:rPr>
        <w:t>пример</w:t>
      </w:r>
      <w:proofErr w:type="gramEnd"/>
      <w:r w:rsidR="00360F3E" w:rsidRPr="000160C5">
        <w:rPr>
          <w:rFonts w:cs="Times New Roman"/>
          <w:szCs w:val="28"/>
          <w:lang w:val="ru-RU"/>
        </w:rPr>
        <w:t xml:space="preserve"> США демонстрирует краткость и существенность излага</w:t>
      </w:r>
      <w:r w:rsidR="00F45BD7" w:rsidRPr="000160C5">
        <w:rPr>
          <w:rFonts w:cs="Times New Roman"/>
          <w:szCs w:val="28"/>
          <w:lang w:val="ru-RU"/>
        </w:rPr>
        <w:t>е</w:t>
      </w:r>
      <w:r w:rsidR="00360F3E" w:rsidRPr="000160C5">
        <w:rPr>
          <w:rFonts w:cs="Times New Roman"/>
          <w:szCs w:val="28"/>
          <w:lang w:val="ru-RU"/>
        </w:rPr>
        <w:t>мой информации</w:t>
      </w:r>
      <w:r w:rsidR="008B72F6">
        <w:rPr>
          <w:rFonts w:cs="Times New Roman"/>
          <w:szCs w:val="28"/>
          <w:lang w:val="ru-RU"/>
        </w:rPr>
        <w:t>, раскрываемой</w:t>
      </w:r>
      <w:r w:rsidR="00360F3E" w:rsidRPr="000160C5">
        <w:rPr>
          <w:rFonts w:cs="Times New Roman"/>
          <w:szCs w:val="28"/>
          <w:lang w:val="ru-RU"/>
        </w:rPr>
        <w:t xml:space="preserve"> в квартально</w:t>
      </w:r>
      <w:r w:rsidR="008B72F6">
        <w:rPr>
          <w:rFonts w:cs="Times New Roman"/>
          <w:szCs w:val="28"/>
          <w:lang w:val="ru-RU"/>
        </w:rPr>
        <w:t>м</w:t>
      </w:r>
      <w:r w:rsidR="00360F3E" w:rsidRPr="000160C5">
        <w:rPr>
          <w:rFonts w:cs="Times New Roman"/>
          <w:szCs w:val="28"/>
          <w:lang w:val="ru-RU"/>
        </w:rPr>
        <w:t xml:space="preserve"> отчет</w:t>
      </w:r>
      <w:r w:rsidR="008B72F6">
        <w:rPr>
          <w:rFonts w:cs="Times New Roman"/>
          <w:szCs w:val="28"/>
          <w:lang w:val="ru-RU"/>
        </w:rPr>
        <w:t>е</w:t>
      </w:r>
      <w:r w:rsidR="00677BA9">
        <w:rPr>
          <w:rFonts w:cs="Times New Roman"/>
          <w:szCs w:val="28"/>
          <w:lang w:val="ru-RU"/>
        </w:rPr>
        <w:t>.</w:t>
      </w:r>
      <w:r w:rsidR="00360F3E" w:rsidRPr="000160C5">
        <w:rPr>
          <w:rFonts w:cs="Times New Roman"/>
          <w:szCs w:val="28"/>
          <w:lang w:val="ru-RU"/>
        </w:rPr>
        <w:t xml:space="preserve"> </w:t>
      </w:r>
      <w:r w:rsidR="00677BA9">
        <w:rPr>
          <w:rFonts w:cs="Times New Roman"/>
          <w:szCs w:val="28"/>
          <w:lang w:val="ru-RU"/>
        </w:rPr>
        <w:t>В</w:t>
      </w:r>
      <w:r w:rsidR="00360F3E" w:rsidRPr="000160C5">
        <w:rPr>
          <w:rFonts w:cs="Times New Roman"/>
          <w:szCs w:val="28"/>
          <w:lang w:val="ru-RU"/>
        </w:rPr>
        <w:t xml:space="preserve"> связи с </w:t>
      </w:r>
      <w:r w:rsidR="00677BA9">
        <w:rPr>
          <w:rFonts w:cs="Times New Roman"/>
          <w:szCs w:val="28"/>
          <w:lang w:val="ru-RU"/>
        </w:rPr>
        <w:t>этим</w:t>
      </w:r>
      <w:r w:rsidR="00360F3E" w:rsidRPr="000160C5">
        <w:rPr>
          <w:rFonts w:cs="Times New Roman"/>
          <w:szCs w:val="28"/>
          <w:lang w:val="ru-RU"/>
        </w:rPr>
        <w:t xml:space="preserve"> нагляд</w:t>
      </w:r>
      <w:r w:rsidR="00F45BD7" w:rsidRPr="000160C5">
        <w:rPr>
          <w:rFonts w:cs="Times New Roman"/>
          <w:szCs w:val="28"/>
          <w:lang w:val="ru-RU"/>
        </w:rPr>
        <w:t>н</w:t>
      </w:r>
      <w:r w:rsidR="00360F3E" w:rsidRPr="000160C5">
        <w:rPr>
          <w:rFonts w:cs="Times New Roman"/>
          <w:szCs w:val="28"/>
          <w:lang w:val="ru-RU"/>
        </w:rPr>
        <w:t xml:space="preserve">ый </w:t>
      </w:r>
      <w:proofErr w:type="gramStart"/>
      <w:r w:rsidR="00360F3E" w:rsidRPr="000160C5">
        <w:rPr>
          <w:rFonts w:cs="Times New Roman"/>
          <w:szCs w:val="28"/>
          <w:lang w:val="ru-RU"/>
        </w:rPr>
        <w:t>пример</w:t>
      </w:r>
      <w:proofErr w:type="gramEnd"/>
      <w:r w:rsidR="00360F3E" w:rsidRPr="000160C5">
        <w:rPr>
          <w:rFonts w:cs="Times New Roman"/>
          <w:szCs w:val="28"/>
          <w:lang w:val="ru-RU"/>
        </w:rPr>
        <w:t xml:space="preserve"> США позволяет ориентироваться на бол</w:t>
      </w:r>
      <w:r w:rsidR="00F45BD7" w:rsidRPr="000160C5">
        <w:rPr>
          <w:rFonts w:cs="Times New Roman"/>
          <w:szCs w:val="28"/>
          <w:lang w:val="ru-RU"/>
        </w:rPr>
        <w:t>е</w:t>
      </w:r>
      <w:r w:rsidR="00360F3E" w:rsidRPr="000160C5">
        <w:rPr>
          <w:rFonts w:cs="Times New Roman"/>
          <w:szCs w:val="28"/>
          <w:lang w:val="ru-RU"/>
        </w:rPr>
        <w:t xml:space="preserve">е оптимальный </w:t>
      </w:r>
      <w:r w:rsidR="00360F3E" w:rsidRPr="000160C5">
        <w:rPr>
          <w:rFonts w:cs="Times New Roman"/>
          <w:szCs w:val="28"/>
          <w:lang w:val="ru-RU"/>
        </w:rPr>
        <w:lastRenderedPageBreak/>
        <w:t>состав информации, которую эмитенту необходимо раскрыть так, чтоб</w:t>
      </w:r>
      <w:r w:rsidR="008B72F6">
        <w:rPr>
          <w:rFonts w:cs="Times New Roman"/>
          <w:szCs w:val="28"/>
          <w:lang w:val="ru-RU"/>
        </w:rPr>
        <w:t>, с одной стороны,</w:t>
      </w:r>
      <w:r w:rsidR="00360F3E" w:rsidRPr="000160C5">
        <w:rPr>
          <w:rFonts w:cs="Times New Roman"/>
          <w:szCs w:val="28"/>
          <w:lang w:val="ru-RU"/>
        </w:rPr>
        <w:t xml:space="preserve"> раскрытие не было </w:t>
      </w:r>
      <w:r w:rsidR="00F45BD7" w:rsidRPr="000160C5">
        <w:rPr>
          <w:rFonts w:cs="Times New Roman"/>
          <w:szCs w:val="28"/>
          <w:lang w:val="ru-RU"/>
        </w:rPr>
        <w:t>обременительно</w:t>
      </w:r>
      <w:r w:rsidR="00360F3E" w:rsidRPr="000160C5">
        <w:rPr>
          <w:rFonts w:cs="Times New Roman"/>
          <w:szCs w:val="28"/>
          <w:lang w:val="ru-RU"/>
        </w:rPr>
        <w:t xml:space="preserve"> для эмитента, а </w:t>
      </w:r>
      <w:r w:rsidR="008B72F6">
        <w:rPr>
          <w:rFonts w:cs="Times New Roman"/>
          <w:szCs w:val="28"/>
          <w:lang w:val="ru-RU"/>
        </w:rPr>
        <w:t xml:space="preserve">с другой стороны, </w:t>
      </w:r>
      <w:r w:rsidR="00360F3E" w:rsidRPr="000160C5">
        <w:rPr>
          <w:rFonts w:cs="Times New Roman"/>
          <w:szCs w:val="28"/>
          <w:lang w:val="ru-RU"/>
        </w:rPr>
        <w:t>сам отчет не оказался тяжелым и массивным для восприятия инвестора</w:t>
      </w:r>
      <w:r w:rsidR="001F6A54" w:rsidRPr="000160C5">
        <w:rPr>
          <w:rFonts w:cs="Times New Roman"/>
          <w:szCs w:val="28"/>
          <w:lang w:val="ru-RU"/>
        </w:rPr>
        <w:t>, не забывая при это о содержательной стороне отчета</w:t>
      </w:r>
      <w:r w:rsidR="00360F3E" w:rsidRPr="000160C5">
        <w:rPr>
          <w:rFonts w:cs="Times New Roman"/>
          <w:szCs w:val="28"/>
          <w:lang w:val="ru-RU"/>
        </w:rPr>
        <w:t>.</w:t>
      </w:r>
    </w:p>
    <w:p w:rsidR="00C40592" w:rsidRPr="000160C5" w:rsidRDefault="00C40592" w:rsidP="007E1AA7">
      <w:pPr>
        <w:pStyle w:val="TNR14"/>
        <w:rPr>
          <w:rFonts w:cs="Times New Roman"/>
          <w:szCs w:val="28"/>
          <w:lang w:val="ru-RU"/>
        </w:rPr>
      </w:pPr>
      <w:r w:rsidRPr="000160C5">
        <w:rPr>
          <w:rFonts w:cs="Times New Roman"/>
          <w:szCs w:val="28"/>
          <w:lang w:val="ru-RU"/>
        </w:rPr>
        <w:t xml:space="preserve">Что касается практики по привлечению к ответственности за раскрытие информации в неполном объеме, то стоит отметить, что на основе анализа судебной практики </w:t>
      </w:r>
      <w:r w:rsidR="00563D66" w:rsidRPr="000160C5">
        <w:rPr>
          <w:rFonts w:cs="Times New Roman"/>
          <w:szCs w:val="28"/>
          <w:lang w:val="ru-RU"/>
        </w:rPr>
        <w:t xml:space="preserve">автором </w:t>
      </w:r>
      <w:r w:rsidRPr="000160C5">
        <w:rPr>
          <w:rFonts w:cs="Times New Roman"/>
          <w:szCs w:val="28"/>
          <w:lang w:val="ru-RU"/>
        </w:rPr>
        <w:t>был сделан вывод о высоком проценте отмен</w:t>
      </w:r>
      <w:r w:rsidR="00B75111" w:rsidRPr="000160C5">
        <w:rPr>
          <w:rFonts w:cs="Times New Roman"/>
          <w:szCs w:val="28"/>
          <w:lang w:val="ru-RU"/>
        </w:rPr>
        <w:t>ы</w:t>
      </w:r>
      <w:r w:rsidRPr="000160C5">
        <w:rPr>
          <w:rFonts w:cs="Times New Roman"/>
          <w:szCs w:val="28"/>
          <w:lang w:val="ru-RU"/>
        </w:rPr>
        <w:t xml:space="preserve"> ненормативных актов</w:t>
      </w:r>
      <w:r w:rsidR="007E1AA7" w:rsidRPr="000160C5">
        <w:rPr>
          <w:rFonts w:cs="Times New Roman"/>
          <w:szCs w:val="28"/>
          <w:lang w:val="ru-RU"/>
        </w:rPr>
        <w:t xml:space="preserve"> ФСФР о привлечении к ответственности</w:t>
      </w:r>
      <w:r w:rsidR="00360F3E" w:rsidRPr="000160C5">
        <w:rPr>
          <w:rFonts w:cs="Times New Roman"/>
          <w:szCs w:val="28"/>
          <w:lang w:val="ru-RU"/>
        </w:rPr>
        <w:t xml:space="preserve"> за раскрытие информации не в полном объеме</w:t>
      </w:r>
      <w:r w:rsidR="007E1AA7" w:rsidRPr="000160C5">
        <w:rPr>
          <w:rFonts w:cs="Times New Roman"/>
          <w:szCs w:val="28"/>
          <w:lang w:val="ru-RU"/>
        </w:rPr>
        <w:t xml:space="preserve">. </w:t>
      </w:r>
      <w:proofErr w:type="gramStart"/>
      <w:r w:rsidR="007E1AA7" w:rsidRPr="000160C5">
        <w:rPr>
          <w:rFonts w:cs="Times New Roman"/>
          <w:szCs w:val="28"/>
          <w:lang w:val="ru-RU"/>
        </w:rPr>
        <w:t xml:space="preserve">В основном, суды ссылались на малозначительность правонарушения в связи с тем, что раскрытие той или иной информации не в полном объеме не представляет </w:t>
      </w:r>
      <w:r w:rsidR="0024650C" w:rsidRPr="000160C5">
        <w:rPr>
          <w:rFonts w:cs="Times New Roman"/>
          <w:szCs w:val="28"/>
          <w:lang w:val="ru-RU"/>
        </w:rPr>
        <w:t xml:space="preserve">существенной </w:t>
      </w:r>
      <w:r w:rsidR="007E1AA7" w:rsidRPr="000160C5">
        <w:rPr>
          <w:rFonts w:cs="Times New Roman"/>
          <w:szCs w:val="28"/>
          <w:lang w:val="ru-RU"/>
        </w:rPr>
        <w:t>угрозы охраняемым общественным интересам</w:t>
      </w:r>
      <w:r w:rsidR="0024650C" w:rsidRPr="000160C5">
        <w:rPr>
          <w:rFonts w:cs="Times New Roman"/>
          <w:szCs w:val="28"/>
          <w:lang w:val="ru-RU"/>
        </w:rPr>
        <w:t xml:space="preserve"> в соответствии с </w:t>
      </w:r>
      <w:r w:rsidR="00E561DA" w:rsidRPr="000160C5">
        <w:rPr>
          <w:rFonts w:cs="Times New Roman"/>
          <w:szCs w:val="28"/>
          <w:lang w:val="ru-RU"/>
        </w:rPr>
        <w:t>разъяснениями</w:t>
      </w:r>
      <w:r w:rsidR="0024650C" w:rsidRPr="000160C5">
        <w:rPr>
          <w:rFonts w:cs="Times New Roman"/>
          <w:szCs w:val="28"/>
          <w:lang w:val="ru-RU"/>
        </w:rPr>
        <w:t xml:space="preserve"> Пленума ВАС РФ</w:t>
      </w:r>
      <w:r w:rsidR="00E561DA" w:rsidRPr="000160C5">
        <w:rPr>
          <w:rFonts w:cs="Times New Roman"/>
          <w:szCs w:val="28"/>
          <w:lang w:val="ru-RU"/>
        </w:rPr>
        <w:t xml:space="preserve">, данными </w:t>
      </w:r>
      <w:r w:rsidR="0024650C" w:rsidRPr="000160C5">
        <w:rPr>
          <w:rFonts w:cs="Times New Roman"/>
          <w:szCs w:val="28"/>
          <w:lang w:val="ru-RU"/>
        </w:rPr>
        <w:t xml:space="preserve">в Постановлении от 02.06.2004 </w:t>
      </w:r>
      <w:r w:rsidR="0024650C" w:rsidRPr="000160C5">
        <w:rPr>
          <w:rFonts w:cs="Times New Roman"/>
          <w:szCs w:val="28"/>
        </w:rPr>
        <w:t>N</w:t>
      </w:r>
      <w:r w:rsidR="0024650C" w:rsidRPr="000160C5">
        <w:rPr>
          <w:rFonts w:cs="Times New Roman"/>
          <w:szCs w:val="28"/>
          <w:lang w:val="ru-RU"/>
        </w:rPr>
        <w:t xml:space="preserve"> 10 "О некоторых вопросах, возникших в судебной практике при рассмотрении дел об административных правонарушениях"</w:t>
      </w:r>
      <w:r w:rsidR="007E1AA7" w:rsidRPr="000160C5">
        <w:rPr>
          <w:rFonts w:cs="Times New Roman"/>
          <w:szCs w:val="28"/>
          <w:lang w:val="ru-RU"/>
        </w:rPr>
        <w:t xml:space="preserve">. </w:t>
      </w:r>
      <w:r w:rsidRPr="000160C5">
        <w:rPr>
          <w:rFonts w:cs="Times New Roman"/>
          <w:szCs w:val="28"/>
          <w:lang w:val="ru-RU"/>
        </w:rPr>
        <w:t xml:space="preserve"> </w:t>
      </w:r>
      <w:proofErr w:type="gramEnd"/>
    </w:p>
    <w:p w:rsidR="001061DB" w:rsidRPr="000160C5" w:rsidRDefault="001061DB" w:rsidP="007E1AA7">
      <w:pPr>
        <w:pStyle w:val="TNR14"/>
        <w:rPr>
          <w:rFonts w:cs="Times New Roman"/>
          <w:szCs w:val="28"/>
          <w:lang w:val="ru-RU"/>
        </w:rPr>
      </w:pPr>
      <w:r w:rsidRPr="000160C5">
        <w:rPr>
          <w:rFonts w:cs="Times New Roman"/>
          <w:szCs w:val="28"/>
          <w:lang w:val="ru-RU"/>
        </w:rPr>
        <w:t>Однако стоит отметить иную позицию судов относительно квалификации правонарушения в качестве малозначительного, которая базируется на том, что состав части 2 статьи 15.19 КоАП является формальным, а потому эмитент привлекается к ответственности вне зависимо</w:t>
      </w:r>
      <w:r w:rsidR="00F45BD7" w:rsidRPr="000160C5">
        <w:rPr>
          <w:rFonts w:cs="Times New Roman"/>
          <w:szCs w:val="28"/>
          <w:lang w:val="ru-RU"/>
        </w:rPr>
        <w:t>сти от наступления последствий. Кроме того</w:t>
      </w:r>
      <w:r w:rsidR="00B75111" w:rsidRPr="000160C5">
        <w:rPr>
          <w:rFonts w:cs="Times New Roman"/>
          <w:szCs w:val="28"/>
          <w:lang w:val="ru-RU"/>
        </w:rPr>
        <w:t>,</w:t>
      </w:r>
      <w:r w:rsidR="00F45BD7" w:rsidRPr="000160C5">
        <w:rPr>
          <w:rFonts w:cs="Times New Roman"/>
          <w:szCs w:val="28"/>
          <w:lang w:val="ru-RU"/>
        </w:rPr>
        <w:t xml:space="preserve"> малозначительным правонарушение по указанному составу не может быть признано уже потому, что угрозу общественным интересам представляет сам факт пренебрежительного отношения эмитента и его должностных лиц к нормативно установленным обязанно</w:t>
      </w:r>
      <w:r w:rsidR="00387838" w:rsidRPr="000160C5">
        <w:rPr>
          <w:rFonts w:cs="Times New Roman"/>
          <w:szCs w:val="28"/>
          <w:lang w:val="ru-RU"/>
        </w:rPr>
        <w:t>стям по надлежащему раскрытию и</w:t>
      </w:r>
      <w:r w:rsidR="00F45BD7" w:rsidRPr="000160C5">
        <w:rPr>
          <w:rFonts w:cs="Times New Roman"/>
          <w:szCs w:val="28"/>
          <w:lang w:val="ru-RU"/>
        </w:rPr>
        <w:t>н</w:t>
      </w:r>
      <w:r w:rsidR="00387838" w:rsidRPr="000160C5">
        <w:rPr>
          <w:rFonts w:cs="Times New Roman"/>
          <w:szCs w:val="28"/>
          <w:lang w:val="ru-RU"/>
        </w:rPr>
        <w:t>фо</w:t>
      </w:r>
      <w:r w:rsidR="00F45BD7" w:rsidRPr="000160C5">
        <w:rPr>
          <w:rFonts w:cs="Times New Roman"/>
          <w:szCs w:val="28"/>
          <w:lang w:val="ru-RU"/>
        </w:rPr>
        <w:t>р</w:t>
      </w:r>
      <w:r w:rsidR="00387838" w:rsidRPr="000160C5">
        <w:rPr>
          <w:rFonts w:cs="Times New Roman"/>
          <w:szCs w:val="28"/>
          <w:lang w:val="ru-RU"/>
        </w:rPr>
        <w:t>м</w:t>
      </w:r>
      <w:r w:rsidR="00F45BD7" w:rsidRPr="000160C5">
        <w:rPr>
          <w:rFonts w:cs="Times New Roman"/>
          <w:szCs w:val="28"/>
          <w:lang w:val="ru-RU"/>
        </w:rPr>
        <w:t>ации</w:t>
      </w:r>
      <w:r w:rsidR="00387838" w:rsidRPr="000160C5">
        <w:rPr>
          <w:rStyle w:val="a9"/>
          <w:rFonts w:cs="Times New Roman"/>
          <w:szCs w:val="28"/>
          <w:lang w:val="ru-RU"/>
        </w:rPr>
        <w:footnoteReference w:id="78"/>
      </w:r>
      <w:r w:rsidR="00F45BD7" w:rsidRPr="000160C5">
        <w:rPr>
          <w:rFonts w:cs="Times New Roman"/>
          <w:szCs w:val="28"/>
          <w:lang w:val="ru-RU"/>
        </w:rPr>
        <w:t xml:space="preserve">.  </w:t>
      </w:r>
    </w:p>
    <w:p w:rsidR="00B75111" w:rsidRPr="000160C5" w:rsidRDefault="00B75111" w:rsidP="007E1AA7">
      <w:pPr>
        <w:pStyle w:val="TNR14"/>
        <w:rPr>
          <w:rFonts w:cs="Times New Roman"/>
          <w:szCs w:val="28"/>
          <w:lang w:val="ru-RU"/>
        </w:rPr>
      </w:pPr>
      <w:r w:rsidRPr="000160C5">
        <w:rPr>
          <w:rFonts w:cs="Times New Roman"/>
          <w:szCs w:val="28"/>
          <w:lang w:val="ru-RU"/>
        </w:rPr>
        <w:t xml:space="preserve">Таким образом, практика по вопросу малозначительности правонарушения неоднозначна и не позволяет делать категоричные выводы о </w:t>
      </w:r>
      <w:r w:rsidRPr="000160C5">
        <w:rPr>
          <w:rFonts w:cs="Times New Roman"/>
          <w:szCs w:val="28"/>
          <w:lang w:val="ru-RU"/>
        </w:rPr>
        <w:lastRenderedPageBreak/>
        <w:t>какой-либо тенденции по привлечению эмитентов к ответственности за раскрытие информации в неполном объеме.</w:t>
      </w:r>
    </w:p>
    <w:p w:rsidR="005E2333" w:rsidRPr="000160C5" w:rsidRDefault="005E2333" w:rsidP="007E1AA7">
      <w:pPr>
        <w:pStyle w:val="TNR14"/>
        <w:rPr>
          <w:rFonts w:cs="Times New Roman"/>
          <w:szCs w:val="28"/>
          <w:lang w:val="ru-RU"/>
        </w:rPr>
      </w:pPr>
      <w:r w:rsidRPr="000160C5">
        <w:rPr>
          <w:rFonts w:cs="Times New Roman"/>
          <w:szCs w:val="28"/>
          <w:lang w:val="ru-RU"/>
        </w:rPr>
        <w:t>Что касается раскрытия информации в неполном объеме в США</w:t>
      </w:r>
      <w:r w:rsidR="00DD4267" w:rsidRPr="000160C5">
        <w:rPr>
          <w:rFonts w:cs="Times New Roman"/>
          <w:szCs w:val="28"/>
          <w:lang w:val="ru-RU"/>
        </w:rPr>
        <w:t>, то оно образует  единый состав с раскрытием недостоверной информации (</w:t>
      </w:r>
      <w:r w:rsidR="00DD4267" w:rsidRPr="000160C5">
        <w:rPr>
          <w:rFonts w:cs="Times New Roman"/>
          <w:szCs w:val="28"/>
        </w:rPr>
        <w:t>misrepresentations</w:t>
      </w:r>
      <w:r w:rsidR="00DD4267" w:rsidRPr="000160C5">
        <w:rPr>
          <w:rFonts w:cs="Times New Roman"/>
          <w:szCs w:val="28"/>
          <w:lang w:val="ru-RU"/>
        </w:rPr>
        <w:t xml:space="preserve"> </w:t>
      </w:r>
      <w:r w:rsidR="00DD4267" w:rsidRPr="000160C5">
        <w:rPr>
          <w:rFonts w:cs="Times New Roman"/>
          <w:szCs w:val="28"/>
        </w:rPr>
        <w:t>and</w:t>
      </w:r>
      <w:r w:rsidR="00DD4267" w:rsidRPr="000160C5">
        <w:rPr>
          <w:rFonts w:cs="Times New Roman"/>
          <w:szCs w:val="28"/>
          <w:lang w:val="ru-RU"/>
        </w:rPr>
        <w:t xml:space="preserve"> </w:t>
      </w:r>
      <w:r w:rsidR="00DD4267" w:rsidRPr="000160C5">
        <w:rPr>
          <w:rFonts w:cs="Times New Roman"/>
          <w:i/>
          <w:szCs w:val="28"/>
        </w:rPr>
        <w:t>omissions</w:t>
      </w:r>
      <w:r w:rsidR="00DD4267" w:rsidRPr="000160C5">
        <w:rPr>
          <w:rFonts w:cs="Times New Roman"/>
          <w:szCs w:val="28"/>
          <w:lang w:val="ru-RU"/>
        </w:rPr>
        <w:t xml:space="preserve">), в </w:t>
      </w:r>
      <w:proofErr w:type="gramStart"/>
      <w:r w:rsidR="00DD4267" w:rsidRPr="000160C5">
        <w:rPr>
          <w:rFonts w:cs="Times New Roman"/>
          <w:szCs w:val="28"/>
          <w:lang w:val="ru-RU"/>
        </w:rPr>
        <w:t>связи</w:t>
      </w:r>
      <w:proofErr w:type="gramEnd"/>
      <w:r w:rsidR="00DD4267" w:rsidRPr="000160C5">
        <w:rPr>
          <w:rFonts w:cs="Times New Roman"/>
          <w:szCs w:val="28"/>
          <w:lang w:val="ru-RU"/>
        </w:rPr>
        <w:t xml:space="preserve"> с чем будет рассмотрено в следующем </w:t>
      </w:r>
      <w:proofErr w:type="spellStart"/>
      <w:r w:rsidR="00DD4267" w:rsidRPr="000160C5">
        <w:rPr>
          <w:rFonts w:cs="Times New Roman"/>
          <w:szCs w:val="28"/>
          <w:lang w:val="ru-RU"/>
        </w:rPr>
        <w:t>подпараграфе</w:t>
      </w:r>
      <w:proofErr w:type="spellEnd"/>
      <w:r w:rsidR="00DD4267" w:rsidRPr="000160C5">
        <w:rPr>
          <w:rFonts w:cs="Times New Roman"/>
          <w:szCs w:val="28"/>
          <w:lang w:val="ru-RU"/>
        </w:rPr>
        <w:t>.</w:t>
      </w:r>
    </w:p>
    <w:p w:rsidR="00DD4267" w:rsidRPr="000160C5" w:rsidRDefault="00DD4267" w:rsidP="007E1AA7">
      <w:pPr>
        <w:pStyle w:val="TNR14"/>
        <w:rPr>
          <w:rFonts w:cs="Times New Roman"/>
          <w:szCs w:val="28"/>
          <w:lang w:val="ru-RU"/>
        </w:rPr>
      </w:pPr>
      <w:r w:rsidRPr="000160C5">
        <w:rPr>
          <w:rFonts w:cs="Times New Roman"/>
          <w:szCs w:val="28"/>
          <w:lang w:val="ru-RU"/>
        </w:rPr>
        <w:t xml:space="preserve">Исходя из выше сказанного, можно </w:t>
      </w:r>
      <w:r w:rsidR="00B75111" w:rsidRPr="000160C5">
        <w:rPr>
          <w:rFonts w:cs="Times New Roman"/>
          <w:szCs w:val="28"/>
          <w:lang w:val="ru-RU"/>
        </w:rPr>
        <w:t>подвести итог</w:t>
      </w:r>
      <w:r w:rsidRPr="000160C5">
        <w:rPr>
          <w:rFonts w:cs="Times New Roman"/>
          <w:szCs w:val="28"/>
          <w:lang w:val="ru-RU"/>
        </w:rPr>
        <w:t xml:space="preserve">, что в России </w:t>
      </w:r>
      <w:r w:rsidR="003A2885" w:rsidRPr="000160C5">
        <w:rPr>
          <w:rFonts w:cs="Times New Roman"/>
          <w:szCs w:val="28"/>
          <w:lang w:val="ru-RU"/>
        </w:rPr>
        <w:t xml:space="preserve">сложилась </w:t>
      </w:r>
      <w:r w:rsidRPr="000160C5">
        <w:rPr>
          <w:rFonts w:cs="Times New Roman"/>
          <w:szCs w:val="28"/>
          <w:lang w:val="ru-RU"/>
        </w:rPr>
        <w:t xml:space="preserve">практика </w:t>
      </w:r>
      <w:r w:rsidR="003A2885" w:rsidRPr="000160C5">
        <w:rPr>
          <w:rFonts w:cs="Times New Roman"/>
          <w:szCs w:val="28"/>
          <w:lang w:val="ru-RU"/>
        </w:rPr>
        <w:t xml:space="preserve">отмены судами постановлений ФСФР о </w:t>
      </w:r>
      <w:r w:rsidRPr="000160C5">
        <w:rPr>
          <w:rFonts w:cs="Times New Roman"/>
          <w:szCs w:val="28"/>
          <w:lang w:val="ru-RU"/>
        </w:rPr>
        <w:t>привлечени</w:t>
      </w:r>
      <w:r w:rsidR="003A2885" w:rsidRPr="000160C5">
        <w:rPr>
          <w:rFonts w:cs="Times New Roman"/>
          <w:szCs w:val="28"/>
          <w:lang w:val="ru-RU"/>
        </w:rPr>
        <w:t>и эмитента</w:t>
      </w:r>
      <w:r w:rsidRPr="000160C5">
        <w:rPr>
          <w:rFonts w:cs="Times New Roman"/>
          <w:szCs w:val="28"/>
          <w:lang w:val="ru-RU"/>
        </w:rPr>
        <w:t xml:space="preserve"> к административной ответственности за раскрытие информации в неполном объеме</w:t>
      </w:r>
      <w:r w:rsidR="003A2885" w:rsidRPr="000160C5">
        <w:rPr>
          <w:rFonts w:cs="Times New Roman"/>
          <w:szCs w:val="28"/>
          <w:lang w:val="ru-RU"/>
        </w:rPr>
        <w:t>.</w:t>
      </w:r>
      <w:r w:rsidRPr="000160C5">
        <w:rPr>
          <w:rFonts w:cs="Times New Roman"/>
          <w:szCs w:val="28"/>
          <w:lang w:val="ru-RU"/>
        </w:rPr>
        <w:t xml:space="preserve"> </w:t>
      </w:r>
      <w:r w:rsidR="00B75111" w:rsidRPr="000160C5">
        <w:rPr>
          <w:rFonts w:cs="Times New Roman"/>
          <w:szCs w:val="28"/>
          <w:lang w:val="ru-RU"/>
        </w:rPr>
        <w:t xml:space="preserve">Однако наличие иной позиции судов относительно малозначительности правонарушений в связи с наличием/отсутствием существенной угрозы общественным интересам позволяет предположить о возможности иного подхода судов к данным правонарушениям. </w:t>
      </w:r>
    </w:p>
    <w:p w:rsidR="00DA28F5" w:rsidRPr="000160C5" w:rsidRDefault="00DA28F5" w:rsidP="00D73B8A">
      <w:pPr>
        <w:pStyle w:val="3"/>
        <w:rPr>
          <w:rFonts w:cs="Times New Roman"/>
        </w:rPr>
      </w:pPr>
      <w:bookmarkStart w:id="20" w:name="_Toc356162060"/>
      <w:r w:rsidRPr="000160C5">
        <w:rPr>
          <w:rFonts w:cs="Times New Roman"/>
        </w:rPr>
        <w:t>§1.4 Раскрытие эмитентом недостоверной и (или) вводящей в заблуждение информации</w:t>
      </w:r>
      <w:bookmarkEnd w:id="20"/>
    </w:p>
    <w:p w:rsidR="00C12372" w:rsidRPr="000160C5" w:rsidRDefault="00DA28F5" w:rsidP="00DA28F5">
      <w:pPr>
        <w:pStyle w:val="TNR14"/>
        <w:rPr>
          <w:rFonts w:cs="Times New Roman"/>
          <w:szCs w:val="28"/>
          <w:lang w:val="ru-RU"/>
        </w:rPr>
      </w:pPr>
      <w:r w:rsidRPr="000160C5">
        <w:rPr>
          <w:rFonts w:cs="Times New Roman"/>
          <w:szCs w:val="28"/>
          <w:lang w:val="ru-RU"/>
        </w:rPr>
        <w:t xml:space="preserve">Кроме указанных выше составов, часть 2 </w:t>
      </w:r>
      <w:r w:rsidR="00B94BFD">
        <w:rPr>
          <w:rFonts w:cs="Times New Roman"/>
          <w:szCs w:val="28"/>
          <w:lang w:val="ru-RU"/>
        </w:rPr>
        <w:t xml:space="preserve"> </w:t>
      </w:r>
      <w:r w:rsidRPr="000160C5">
        <w:rPr>
          <w:rFonts w:cs="Times New Roman"/>
          <w:szCs w:val="28"/>
          <w:lang w:val="ru-RU"/>
        </w:rPr>
        <w:t>статьи 15.19 КоАП</w:t>
      </w:r>
      <w:r w:rsidR="00F83434" w:rsidRPr="000160C5">
        <w:rPr>
          <w:rFonts w:cs="Times New Roman"/>
          <w:szCs w:val="28"/>
          <w:lang w:val="ru-RU"/>
        </w:rPr>
        <w:t xml:space="preserve"> также предусматривает ответственность за раскрытие эмитентом недостоверной и (или) вводящей в заблуждение информации. </w:t>
      </w:r>
    </w:p>
    <w:p w:rsidR="00C12372" w:rsidRPr="000160C5" w:rsidRDefault="00C12372" w:rsidP="00DA28F5">
      <w:pPr>
        <w:pStyle w:val="TNR14"/>
        <w:rPr>
          <w:rFonts w:cs="Times New Roman"/>
          <w:szCs w:val="28"/>
          <w:lang w:val="ru-RU"/>
        </w:rPr>
      </w:pPr>
      <w:r w:rsidRPr="000160C5">
        <w:rPr>
          <w:rFonts w:cs="Times New Roman"/>
          <w:szCs w:val="28"/>
          <w:lang w:val="ru-RU"/>
        </w:rPr>
        <w:t xml:space="preserve">Недостоверная и (или) вводящая в заблуждение информация также нарушает право инвестора на получение достоверной информации о текущем состоянии дел. </w:t>
      </w:r>
    </w:p>
    <w:p w:rsidR="003D3136" w:rsidRPr="000160C5" w:rsidRDefault="00C12372" w:rsidP="003D3136">
      <w:pPr>
        <w:pStyle w:val="TNR14"/>
        <w:rPr>
          <w:rFonts w:cs="Times New Roman"/>
          <w:szCs w:val="28"/>
          <w:lang w:val="ru-RU"/>
        </w:rPr>
      </w:pPr>
      <w:proofErr w:type="gramStart"/>
      <w:r w:rsidRPr="000160C5">
        <w:rPr>
          <w:rFonts w:cs="Times New Roman"/>
          <w:szCs w:val="28"/>
          <w:lang w:val="ru-RU"/>
        </w:rPr>
        <w:t xml:space="preserve">Из наиболее часто встречающихся правонарушений по данному составу </w:t>
      </w:r>
      <w:r w:rsidR="005B4286" w:rsidRPr="000160C5">
        <w:rPr>
          <w:rFonts w:cs="Times New Roman"/>
          <w:szCs w:val="28"/>
          <w:lang w:val="ru-RU"/>
        </w:rPr>
        <w:t xml:space="preserve">можно выделить </w:t>
      </w:r>
      <w:r w:rsidRPr="000160C5">
        <w:rPr>
          <w:rFonts w:cs="Times New Roman"/>
          <w:szCs w:val="28"/>
          <w:lang w:val="ru-RU"/>
        </w:rPr>
        <w:t>следующие: утаивание отдельных фактов, противоречивость информации в различных документах (например, расхождение в составе совета директоров эмитента, указанного в ежеквартальном отчете, а также в списке аффилированных лиц, в размере долей принадлежащих им акций общества)</w:t>
      </w:r>
      <w:r w:rsidRPr="000160C5">
        <w:rPr>
          <w:rStyle w:val="a9"/>
          <w:rFonts w:cs="Times New Roman"/>
          <w:szCs w:val="28"/>
          <w:lang w:val="ru-RU"/>
        </w:rPr>
        <w:footnoteReference w:id="79"/>
      </w:r>
      <w:r w:rsidR="003D3136" w:rsidRPr="000160C5">
        <w:rPr>
          <w:rFonts w:cs="Times New Roman"/>
          <w:szCs w:val="28"/>
          <w:lang w:val="ru-RU"/>
        </w:rPr>
        <w:t xml:space="preserve">, раскрытие недостоверной информации об имеющихся у эмитента займа и их размерах, о </w:t>
      </w:r>
      <w:r w:rsidR="005579AC" w:rsidRPr="000160C5">
        <w:rPr>
          <w:rFonts w:cs="Times New Roman"/>
          <w:szCs w:val="28"/>
          <w:lang w:val="ru-RU"/>
        </w:rPr>
        <w:t xml:space="preserve">совершенных </w:t>
      </w:r>
      <w:r w:rsidR="005579AC" w:rsidRPr="000160C5">
        <w:rPr>
          <w:rFonts w:cs="Times New Roman"/>
          <w:szCs w:val="28"/>
          <w:lang w:val="ru-RU"/>
        </w:rPr>
        <w:lastRenderedPageBreak/>
        <w:t xml:space="preserve">эмитентом </w:t>
      </w:r>
      <w:r w:rsidR="003D3136" w:rsidRPr="000160C5">
        <w:rPr>
          <w:rFonts w:cs="Times New Roman"/>
          <w:szCs w:val="28"/>
          <w:lang w:val="ru-RU"/>
        </w:rPr>
        <w:t>крупных сделках и</w:t>
      </w:r>
      <w:proofErr w:type="gramEnd"/>
      <w:r w:rsidR="003D3136" w:rsidRPr="000160C5">
        <w:rPr>
          <w:rFonts w:cs="Times New Roman"/>
          <w:szCs w:val="28"/>
          <w:lang w:val="ru-RU"/>
        </w:rPr>
        <w:t xml:space="preserve"> </w:t>
      </w:r>
      <w:proofErr w:type="gramStart"/>
      <w:r w:rsidR="003D3136" w:rsidRPr="000160C5">
        <w:rPr>
          <w:rFonts w:cs="Times New Roman"/>
          <w:szCs w:val="28"/>
          <w:lang w:val="ru-RU"/>
        </w:rPr>
        <w:t>сделках</w:t>
      </w:r>
      <w:proofErr w:type="gramEnd"/>
      <w:r w:rsidR="003D3136" w:rsidRPr="000160C5">
        <w:rPr>
          <w:rFonts w:cs="Times New Roman"/>
          <w:szCs w:val="28"/>
          <w:lang w:val="ru-RU"/>
        </w:rPr>
        <w:t xml:space="preserve"> с заинтересованностью</w:t>
      </w:r>
      <w:r w:rsidR="002225A6" w:rsidRPr="000160C5">
        <w:rPr>
          <w:rStyle w:val="a9"/>
          <w:rFonts w:cs="Times New Roman"/>
          <w:szCs w:val="28"/>
          <w:lang w:val="ru-RU"/>
        </w:rPr>
        <w:footnoteReference w:id="80"/>
      </w:r>
      <w:r w:rsidR="003D3136" w:rsidRPr="000160C5">
        <w:rPr>
          <w:rFonts w:cs="Times New Roman"/>
          <w:szCs w:val="28"/>
          <w:lang w:val="ru-RU"/>
        </w:rPr>
        <w:t>,</w:t>
      </w:r>
      <w:r w:rsidR="002225A6" w:rsidRPr="000160C5">
        <w:rPr>
          <w:rFonts w:cs="Times New Roman"/>
          <w:szCs w:val="28"/>
          <w:lang w:val="ru-RU"/>
        </w:rPr>
        <w:t xml:space="preserve"> о месте нахождения эмитента, </w:t>
      </w:r>
      <w:r w:rsidR="007F5707" w:rsidRPr="000160C5">
        <w:rPr>
          <w:rFonts w:cs="Times New Roman"/>
          <w:szCs w:val="28"/>
          <w:lang w:val="ru-RU"/>
        </w:rPr>
        <w:t>реквизитах</w:t>
      </w:r>
      <w:r w:rsidR="002225A6" w:rsidRPr="000160C5">
        <w:rPr>
          <w:rFonts w:cs="Times New Roman"/>
          <w:szCs w:val="28"/>
          <w:lang w:val="ru-RU"/>
        </w:rPr>
        <w:t xml:space="preserve"> государственной регистрации дополнительного выпуска акций в отношении финансовых вложений эмитента</w:t>
      </w:r>
      <w:r w:rsidR="002225A6" w:rsidRPr="000160C5">
        <w:rPr>
          <w:rStyle w:val="a9"/>
          <w:rFonts w:cs="Times New Roman"/>
          <w:szCs w:val="28"/>
          <w:lang w:val="ru-RU"/>
        </w:rPr>
        <w:footnoteReference w:id="81"/>
      </w:r>
      <w:r w:rsidR="007F5707" w:rsidRPr="000160C5">
        <w:rPr>
          <w:rFonts w:cs="Times New Roman"/>
          <w:szCs w:val="28"/>
          <w:lang w:val="ru-RU"/>
        </w:rPr>
        <w:t xml:space="preserve"> и пр. </w:t>
      </w:r>
    </w:p>
    <w:p w:rsidR="004F58CA" w:rsidRPr="000160C5" w:rsidRDefault="004F58CA" w:rsidP="003D3136">
      <w:pPr>
        <w:pStyle w:val="TNR14"/>
        <w:rPr>
          <w:rFonts w:cs="Times New Roman"/>
          <w:szCs w:val="28"/>
          <w:lang w:val="ru-RU"/>
        </w:rPr>
      </w:pPr>
      <w:r w:rsidRPr="000160C5">
        <w:rPr>
          <w:rFonts w:cs="Times New Roman"/>
          <w:szCs w:val="28"/>
          <w:lang w:val="ru-RU"/>
        </w:rPr>
        <w:t xml:space="preserve">Правовые последствия для нарушителя также предусмотрены </w:t>
      </w:r>
      <w:r w:rsidR="00E41CB5" w:rsidRPr="000160C5">
        <w:rPr>
          <w:rFonts w:cs="Times New Roman"/>
          <w:szCs w:val="28"/>
          <w:lang w:val="ru-RU"/>
        </w:rPr>
        <w:t>санкцией части 2 статьи 15.19 КоАП.</w:t>
      </w:r>
    </w:p>
    <w:p w:rsidR="005579AC" w:rsidRPr="000160C5" w:rsidRDefault="00E41CB5" w:rsidP="003D3136">
      <w:pPr>
        <w:pStyle w:val="TNR14"/>
        <w:rPr>
          <w:rFonts w:cs="Times New Roman"/>
          <w:szCs w:val="28"/>
          <w:lang w:val="ru-RU"/>
        </w:rPr>
      </w:pPr>
      <w:r w:rsidRPr="000160C5">
        <w:rPr>
          <w:rFonts w:cs="Times New Roman"/>
          <w:szCs w:val="28"/>
          <w:lang w:val="ru-RU"/>
        </w:rPr>
        <w:t>Здесь важно провести границу между составом административного и уголовного деяния, так как сознательное искажение информации, осуществляемое с целью введения инвесторов в заблуждение, может повлечь не только административную, но и уголовную ответственность</w:t>
      </w:r>
      <w:r w:rsidRPr="000160C5">
        <w:rPr>
          <w:rStyle w:val="a9"/>
          <w:rFonts w:cs="Times New Roman"/>
          <w:szCs w:val="28"/>
          <w:lang w:val="ru-RU"/>
        </w:rPr>
        <w:footnoteReference w:id="82"/>
      </w:r>
      <w:r w:rsidR="005579AC" w:rsidRPr="000160C5">
        <w:rPr>
          <w:rFonts w:cs="Times New Roman"/>
          <w:szCs w:val="28"/>
          <w:lang w:val="ru-RU"/>
        </w:rPr>
        <w:t xml:space="preserve"> (об уголовной ответственности см. далее)</w:t>
      </w:r>
      <w:r w:rsidRPr="000160C5">
        <w:rPr>
          <w:rFonts w:cs="Times New Roman"/>
          <w:szCs w:val="28"/>
          <w:lang w:val="ru-RU"/>
        </w:rPr>
        <w:t>.</w:t>
      </w:r>
    </w:p>
    <w:p w:rsidR="00777F39" w:rsidRPr="000160C5" w:rsidRDefault="005579AC" w:rsidP="003D3136">
      <w:pPr>
        <w:pStyle w:val="TNR14"/>
        <w:rPr>
          <w:rFonts w:cs="Times New Roman"/>
          <w:szCs w:val="28"/>
          <w:lang w:val="ru-RU"/>
        </w:rPr>
      </w:pPr>
      <w:proofErr w:type="gramStart"/>
      <w:r w:rsidRPr="000160C5">
        <w:rPr>
          <w:rFonts w:cs="Times New Roman"/>
          <w:szCs w:val="28"/>
          <w:lang w:val="ru-RU"/>
        </w:rPr>
        <w:t>На основе анализа административной практики США по привлечению эмитентов к ответственности за нарушения требований законодательства о раскрытии</w:t>
      </w:r>
      <w:proofErr w:type="gramEnd"/>
      <w:r w:rsidRPr="000160C5">
        <w:rPr>
          <w:rFonts w:cs="Times New Roman"/>
          <w:szCs w:val="28"/>
          <w:lang w:val="ru-RU"/>
        </w:rPr>
        <w:t xml:space="preserve"> информации</w:t>
      </w:r>
      <w:r w:rsidR="00955431" w:rsidRPr="000160C5">
        <w:rPr>
          <w:rStyle w:val="a9"/>
          <w:rFonts w:cs="Times New Roman"/>
          <w:szCs w:val="28"/>
          <w:lang w:val="ru-RU"/>
        </w:rPr>
        <w:footnoteReference w:id="83"/>
      </w:r>
      <w:r w:rsidRPr="000160C5">
        <w:rPr>
          <w:rFonts w:cs="Times New Roman"/>
          <w:szCs w:val="28"/>
          <w:lang w:val="ru-RU"/>
        </w:rPr>
        <w:t>, автором был сделан вывод, что раскрытие недостоверной информации образует единый состав с раскрытием информации в неполном объеме (</w:t>
      </w:r>
      <w:proofErr w:type="spellStart"/>
      <w:r w:rsidRPr="000160C5">
        <w:rPr>
          <w:rFonts w:cs="Times New Roman"/>
          <w:szCs w:val="28"/>
          <w:lang w:val="ru-RU"/>
        </w:rPr>
        <w:t>misrepresentations</w:t>
      </w:r>
      <w:proofErr w:type="spellEnd"/>
      <w:r w:rsidRPr="000160C5">
        <w:rPr>
          <w:rFonts w:cs="Times New Roman"/>
          <w:szCs w:val="28"/>
          <w:lang w:val="ru-RU"/>
        </w:rPr>
        <w:t xml:space="preserve"> </w:t>
      </w:r>
      <w:proofErr w:type="spellStart"/>
      <w:r w:rsidRPr="000160C5">
        <w:rPr>
          <w:rFonts w:cs="Times New Roman"/>
          <w:szCs w:val="28"/>
          <w:lang w:val="ru-RU"/>
        </w:rPr>
        <w:t>and</w:t>
      </w:r>
      <w:proofErr w:type="spellEnd"/>
      <w:r w:rsidRPr="000160C5">
        <w:rPr>
          <w:rFonts w:cs="Times New Roman"/>
          <w:szCs w:val="28"/>
          <w:lang w:val="ru-RU"/>
        </w:rPr>
        <w:t xml:space="preserve"> </w:t>
      </w:r>
      <w:proofErr w:type="spellStart"/>
      <w:r w:rsidRPr="000160C5">
        <w:rPr>
          <w:rFonts w:cs="Times New Roman"/>
          <w:szCs w:val="28"/>
          <w:lang w:val="ru-RU"/>
        </w:rPr>
        <w:t>omissions</w:t>
      </w:r>
      <w:proofErr w:type="spellEnd"/>
      <w:r w:rsidRPr="000160C5">
        <w:rPr>
          <w:rFonts w:cs="Times New Roman"/>
          <w:szCs w:val="28"/>
          <w:lang w:val="ru-RU"/>
        </w:rPr>
        <w:t>).</w:t>
      </w:r>
    </w:p>
    <w:p w:rsidR="005557BE" w:rsidRPr="000160C5" w:rsidRDefault="00777F39" w:rsidP="003D3136">
      <w:pPr>
        <w:pStyle w:val="TNR14"/>
        <w:rPr>
          <w:rFonts w:cs="Times New Roman"/>
          <w:szCs w:val="28"/>
          <w:lang w:val="ru-RU"/>
        </w:rPr>
      </w:pPr>
      <w:r w:rsidRPr="000160C5">
        <w:rPr>
          <w:rFonts w:cs="Times New Roman"/>
          <w:szCs w:val="28"/>
          <w:lang w:val="ru-RU"/>
        </w:rPr>
        <w:t>В рамках административного производства санкции, применяемые к нарушителям, сводятся к</w:t>
      </w:r>
      <w:r w:rsidR="00955431" w:rsidRPr="000160C5">
        <w:rPr>
          <w:rFonts w:cs="Times New Roman"/>
          <w:szCs w:val="28"/>
          <w:lang w:val="ru-RU"/>
        </w:rPr>
        <w:t xml:space="preserve"> предписаниям Комиссии США о прекращении и недопущении впредь противоправных действий (</w:t>
      </w:r>
      <w:r w:rsidR="00955431" w:rsidRPr="000160C5">
        <w:rPr>
          <w:rFonts w:cs="Times New Roman"/>
          <w:szCs w:val="28"/>
        </w:rPr>
        <w:t>cease</w:t>
      </w:r>
      <w:r w:rsidR="00955431" w:rsidRPr="000160C5">
        <w:rPr>
          <w:rFonts w:cs="Times New Roman"/>
          <w:szCs w:val="28"/>
          <w:lang w:val="ru-RU"/>
        </w:rPr>
        <w:t>-</w:t>
      </w:r>
      <w:r w:rsidR="00955431" w:rsidRPr="000160C5">
        <w:rPr>
          <w:rFonts w:cs="Times New Roman"/>
          <w:szCs w:val="28"/>
        </w:rPr>
        <w:t>and</w:t>
      </w:r>
      <w:r w:rsidR="00955431" w:rsidRPr="000160C5">
        <w:rPr>
          <w:rFonts w:cs="Times New Roman"/>
          <w:szCs w:val="28"/>
          <w:lang w:val="ru-RU"/>
        </w:rPr>
        <w:t>-</w:t>
      </w:r>
      <w:r w:rsidR="00955431" w:rsidRPr="000160C5">
        <w:rPr>
          <w:rFonts w:cs="Times New Roman"/>
          <w:szCs w:val="28"/>
        </w:rPr>
        <w:t>desist</w:t>
      </w:r>
      <w:r w:rsidR="00955431" w:rsidRPr="000160C5">
        <w:rPr>
          <w:rFonts w:cs="Times New Roman"/>
          <w:szCs w:val="28"/>
          <w:lang w:val="ru-RU"/>
        </w:rPr>
        <w:t xml:space="preserve"> </w:t>
      </w:r>
      <w:r w:rsidR="00955431" w:rsidRPr="000160C5">
        <w:rPr>
          <w:rFonts w:cs="Times New Roman"/>
          <w:szCs w:val="28"/>
        </w:rPr>
        <w:t>order</w:t>
      </w:r>
      <w:r w:rsidR="00955431" w:rsidRPr="000160C5">
        <w:rPr>
          <w:rFonts w:cs="Times New Roman"/>
          <w:szCs w:val="28"/>
          <w:lang w:val="ru-RU"/>
        </w:rPr>
        <w:t>), админис</w:t>
      </w:r>
      <w:r w:rsidR="005B4286" w:rsidRPr="000160C5">
        <w:rPr>
          <w:rFonts w:cs="Times New Roman"/>
          <w:szCs w:val="28"/>
          <w:lang w:val="ru-RU"/>
        </w:rPr>
        <w:t>тративным штрафам, аннулированию</w:t>
      </w:r>
      <w:r w:rsidR="00955431" w:rsidRPr="000160C5">
        <w:rPr>
          <w:rFonts w:cs="Times New Roman"/>
          <w:szCs w:val="28"/>
          <w:lang w:val="ru-RU"/>
        </w:rPr>
        <w:t xml:space="preserve"> регистрации выпуска ценных бумаг эмитента, исключение из объединений и ассоциаций (например, СРО), изъятию дохода, полученного нечестным путем, и начисленных на него за период разбирательства процентов</w:t>
      </w:r>
      <w:r w:rsidR="00444654" w:rsidRPr="000160C5">
        <w:rPr>
          <w:rFonts w:cs="Times New Roman"/>
          <w:szCs w:val="28"/>
          <w:lang w:val="ru-RU"/>
        </w:rPr>
        <w:t>. Стоит отметить, ч</w:t>
      </w:r>
      <w:r w:rsidR="005B4286" w:rsidRPr="000160C5">
        <w:rPr>
          <w:rFonts w:cs="Times New Roman"/>
          <w:szCs w:val="28"/>
          <w:lang w:val="ru-RU"/>
        </w:rPr>
        <w:t>то суммы штрафов и доходов не иду</w:t>
      </w:r>
      <w:r w:rsidR="00444654" w:rsidRPr="000160C5">
        <w:rPr>
          <w:rFonts w:cs="Times New Roman"/>
          <w:szCs w:val="28"/>
          <w:lang w:val="ru-RU"/>
        </w:rPr>
        <w:t xml:space="preserve">т в сравнение с размером административного штрафа, установленного в части 2 статьи 15.19 КоАП. </w:t>
      </w:r>
    </w:p>
    <w:p w:rsidR="00076B10" w:rsidRPr="000160C5" w:rsidRDefault="005557BE" w:rsidP="00720F5B">
      <w:pPr>
        <w:pStyle w:val="TNR14"/>
        <w:rPr>
          <w:rFonts w:cs="Times New Roman"/>
          <w:szCs w:val="28"/>
          <w:lang w:val="ru-RU"/>
        </w:rPr>
      </w:pPr>
      <w:r w:rsidRPr="000160C5">
        <w:rPr>
          <w:rFonts w:cs="Times New Roman"/>
          <w:szCs w:val="28"/>
          <w:lang w:val="ru-RU"/>
        </w:rPr>
        <w:lastRenderedPageBreak/>
        <w:t xml:space="preserve">Одним из наиболее интересных, на взгляд автора, судебных дел является дело Комиссии США против Банка Америки. Фабула дела заключается в том, что на заре кризиса 2008 года Банк Америки и </w:t>
      </w:r>
      <w:proofErr w:type="spellStart"/>
      <w:r w:rsidR="00695F03" w:rsidRPr="000160C5">
        <w:rPr>
          <w:rFonts w:cs="Times New Roman"/>
          <w:szCs w:val="28"/>
          <w:lang w:val="ru-RU"/>
        </w:rPr>
        <w:t>Меррил</w:t>
      </w:r>
      <w:proofErr w:type="spellEnd"/>
      <w:r w:rsidR="00695F03" w:rsidRPr="000160C5">
        <w:rPr>
          <w:rFonts w:cs="Times New Roman"/>
          <w:szCs w:val="28"/>
          <w:lang w:val="ru-RU"/>
        </w:rPr>
        <w:t xml:space="preserve"> Линч и Ко</w:t>
      </w:r>
      <w:proofErr w:type="gramStart"/>
      <w:r w:rsidR="00695F03" w:rsidRPr="000160C5">
        <w:rPr>
          <w:rFonts w:cs="Times New Roman"/>
          <w:szCs w:val="28"/>
          <w:lang w:val="ru-RU"/>
        </w:rPr>
        <w:t>.</w:t>
      </w:r>
      <w:proofErr w:type="gramEnd"/>
      <w:r w:rsidR="00695F03" w:rsidRPr="000160C5">
        <w:rPr>
          <w:rFonts w:cs="Times New Roman"/>
          <w:szCs w:val="28"/>
          <w:lang w:val="ru-RU"/>
        </w:rPr>
        <w:t xml:space="preserve"> (</w:t>
      </w:r>
      <w:proofErr w:type="gramStart"/>
      <w:r w:rsidR="00695F03" w:rsidRPr="000160C5">
        <w:rPr>
          <w:rFonts w:cs="Times New Roman"/>
          <w:szCs w:val="28"/>
          <w:lang w:val="ru-RU"/>
        </w:rPr>
        <w:t>к</w:t>
      </w:r>
      <w:proofErr w:type="gramEnd"/>
      <w:r w:rsidR="00695F03" w:rsidRPr="000160C5">
        <w:rPr>
          <w:rFonts w:cs="Times New Roman"/>
          <w:szCs w:val="28"/>
          <w:lang w:val="ru-RU"/>
        </w:rPr>
        <w:t xml:space="preserve">рупнейший на тот момент финансовый посредник) приняли решение о поглощении Банком Америки последнего. Инвесторам была раскрыта информация о том, что </w:t>
      </w:r>
      <w:proofErr w:type="spellStart"/>
      <w:r w:rsidR="00695F03" w:rsidRPr="000160C5">
        <w:rPr>
          <w:rFonts w:cs="Times New Roman"/>
          <w:szCs w:val="28"/>
          <w:lang w:val="ru-RU"/>
        </w:rPr>
        <w:t>Меррил</w:t>
      </w:r>
      <w:proofErr w:type="spellEnd"/>
      <w:r w:rsidR="00695F03" w:rsidRPr="000160C5">
        <w:rPr>
          <w:rFonts w:cs="Times New Roman"/>
          <w:szCs w:val="28"/>
          <w:lang w:val="ru-RU"/>
        </w:rPr>
        <w:t xml:space="preserve"> не будет выплачивать годовую премию своему руководству до закрытия сделки без согласия Банка Америки. На самом деле между компаниями было подписано отдельное соглашение о выплате бонуса, размер которого составлял 12% от общей суммы сделки, до закрытия, и более 283 тыс. инвесторов обеих компаний не были проинформированы о данном соглашении. Принимая во внимания фактическую сторону дела, тот факт, что убытки </w:t>
      </w:r>
      <w:proofErr w:type="spellStart"/>
      <w:r w:rsidR="00695F03" w:rsidRPr="000160C5">
        <w:rPr>
          <w:rFonts w:cs="Times New Roman"/>
          <w:szCs w:val="28"/>
          <w:lang w:val="ru-RU"/>
        </w:rPr>
        <w:t>Меррила</w:t>
      </w:r>
      <w:proofErr w:type="spellEnd"/>
      <w:r w:rsidR="00695F03" w:rsidRPr="000160C5">
        <w:rPr>
          <w:rFonts w:cs="Times New Roman"/>
          <w:szCs w:val="28"/>
          <w:lang w:val="ru-RU"/>
        </w:rPr>
        <w:t xml:space="preserve"> за 2007 и 2008 годы составили колоссальные и рекордные за всю историю существования компании суммы, а также общие финансовые условия экономики в целом, Банк Америки был оштрафован на сумму 30 миллионов долларов</w:t>
      </w:r>
      <w:r w:rsidR="00695F03" w:rsidRPr="000160C5">
        <w:rPr>
          <w:rStyle w:val="a9"/>
          <w:rFonts w:cs="Times New Roman"/>
          <w:szCs w:val="28"/>
          <w:lang w:val="ru-RU"/>
        </w:rPr>
        <w:footnoteReference w:id="84"/>
      </w:r>
      <w:r w:rsidR="00695F03" w:rsidRPr="000160C5">
        <w:rPr>
          <w:rFonts w:cs="Times New Roman"/>
          <w:szCs w:val="28"/>
          <w:lang w:val="ru-RU"/>
        </w:rPr>
        <w:t>.</w:t>
      </w:r>
    </w:p>
    <w:p w:rsidR="00203EDF" w:rsidRPr="000160C5" w:rsidRDefault="00553E47" w:rsidP="00695F03">
      <w:pPr>
        <w:pStyle w:val="TNR14"/>
        <w:rPr>
          <w:rFonts w:cs="Times New Roman"/>
          <w:szCs w:val="28"/>
          <w:lang w:val="ru-RU"/>
        </w:rPr>
      </w:pPr>
      <w:proofErr w:type="gramStart"/>
      <w:r w:rsidRPr="000160C5">
        <w:rPr>
          <w:rFonts w:cs="Times New Roman"/>
          <w:szCs w:val="28"/>
          <w:lang w:val="ru-RU"/>
        </w:rPr>
        <w:t xml:space="preserve">Также нельзя не отметить один из крупнейших штрафов в истории Комиссии США </w:t>
      </w:r>
      <w:r w:rsidR="009C1857" w:rsidRPr="000160C5">
        <w:rPr>
          <w:rFonts w:cs="Times New Roman"/>
          <w:szCs w:val="28"/>
          <w:lang w:val="ru-RU"/>
        </w:rPr>
        <w:t>в размере 52</w:t>
      </w:r>
      <w:r w:rsidRPr="000160C5">
        <w:rPr>
          <w:rFonts w:cs="Times New Roman"/>
          <w:szCs w:val="28"/>
          <w:lang w:val="ru-RU"/>
        </w:rPr>
        <w:t>5 миллионов долларов, который был наложен на нефтедобывающую компанию Бритиш Петролеум (</w:t>
      </w:r>
      <w:r w:rsidRPr="000160C5">
        <w:rPr>
          <w:rFonts w:cs="Times New Roman"/>
          <w:szCs w:val="28"/>
        </w:rPr>
        <w:t>British</w:t>
      </w:r>
      <w:r w:rsidRPr="000160C5">
        <w:rPr>
          <w:rFonts w:cs="Times New Roman"/>
          <w:szCs w:val="28"/>
          <w:lang w:val="ru-RU"/>
        </w:rPr>
        <w:t xml:space="preserve"> </w:t>
      </w:r>
      <w:r w:rsidRPr="000160C5">
        <w:rPr>
          <w:rFonts w:cs="Times New Roman"/>
          <w:szCs w:val="28"/>
        </w:rPr>
        <w:t>Petroleum</w:t>
      </w:r>
      <w:r w:rsidRPr="000160C5">
        <w:rPr>
          <w:rFonts w:cs="Times New Roman"/>
          <w:szCs w:val="28"/>
          <w:lang w:val="ru-RU"/>
        </w:rPr>
        <w:t xml:space="preserve">) за факт раскрытия отчетов, содержащих недостоверную и вводящую инвесторов в заблуждение информацию относительно произошедшей в апреле 2010 года аварии на нефтяной платформе </w:t>
      </w:r>
      <w:proofErr w:type="spellStart"/>
      <w:r w:rsidRPr="000160C5">
        <w:rPr>
          <w:rFonts w:cs="Times New Roman"/>
          <w:szCs w:val="28"/>
          <w:lang w:val="ru-RU"/>
        </w:rPr>
        <w:t>Deepwater</w:t>
      </w:r>
      <w:proofErr w:type="spellEnd"/>
      <w:r w:rsidRPr="000160C5">
        <w:rPr>
          <w:rFonts w:cs="Times New Roman"/>
          <w:szCs w:val="28"/>
          <w:lang w:val="ru-RU"/>
        </w:rPr>
        <w:t xml:space="preserve"> </w:t>
      </w:r>
      <w:proofErr w:type="spellStart"/>
      <w:r w:rsidRPr="000160C5">
        <w:rPr>
          <w:rFonts w:cs="Times New Roman"/>
          <w:szCs w:val="28"/>
          <w:lang w:val="ru-RU"/>
        </w:rPr>
        <w:t>Horizon</w:t>
      </w:r>
      <w:proofErr w:type="spellEnd"/>
      <w:r w:rsidRPr="000160C5">
        <w:rPr>
          <w:rFonts w:cs="Times New Roman"/>
          <w:szCs w:val="28"/>
          <w:lang w:val="ru-RU"/>
        </w:rPr>
        <w:t>, приведшей к одной из крупнейших техногенных катастроф в истории</w:t>
      </w:r>
      <w:proofErr w:type="gramEnd"/>
      <w:r w:rsidRPr="000160C5">
        <w:rPr>
          <w:rFonts w:cs="Times New Roman"/>
          <w:szCs w:val="28"/>
          <w:lang w:val="ru-RU"/>
        </w:rPr>
        <w:t xml:space="preserve"> человечества. </w:t>
      </w:r>
      <w:r w:rsidR="009C1857" w:rsidRPr="000160C5">
        <w:rPr>
          <w:rFonts w:cs="Times New Roman"/>
          <w:szCs w:val="28"/>
          <w:lang w:val="ru-RU"/>
        </w:rPr>
        <w:t xml:space="preserve">Бритиш Петролеум при </w:t>
      </w:r>
      <w:r w:rsidR="001D48D8" w:rsidRPr="000160C5">
        <w:rPr>
          <w:rFonts w:cs="Times New Roman"/>
          <w:szCs w:val="28"/>
          <w:lang w:val="ru-RU"/>
        </w:rPr>
        <w:t>опубликовании трех отчетов</w:t>
      </w:r>
      <w:r w:rsidR="009C1857" w:rsidRPr="000160C5">
        <w:rPr>
          <w:rFonts w:cs="Times New Roman"/>
          <w:szCs w:val="28"/>
          <w:lang w:val="ru-RU"/>
        </w:rPr>
        <w:t xml:space="preserve"> значительно (приблизительно в десять раз) занизил величину, отражающую объем разлива нефти в Мексиканском заливе, чем ввел в заблуждение инвесторов</w:t>
      </w:r>
      <w:r w:rsidR="00720F5B" w:rsidRPr="000160C5">
        <w:rPr>
          <w:rStyle w:val="a9"/>
          <w:rFonts w:cs="Times New Roman"/>
          <w:szCs w:val="28"/>
          <w:lang w:val="ru-RU"/>
        </w:rPr>
        <w:footnoteReference w:id="85"/>
      </w:r>
      <w:r w:rsidR="00203EDF" w:rsidRPr="000160C5">
        <w:rPr>
          <w:rFonts w:cs="Times New Roman"/>
          <w:szCs w:val="28"/>
          <w:lang w:val="ru-RU"/>
        </w:rPr>
        <w:t>.</w:t>
      </w:r>
    </w:p>
    <w:p w:rsidR="002D16BA" w:rsidRPr="000160C5" w:rsidRDefault="00720F5B" w:rsidP="00695F03">
      <w:pPr>
        <w:pStyle w:val="TNR14"/>
        <w:rPr>
          <w:rFonts w:cs="Times New Roman"/>
          <w:szCs w:val="28"/>
          <w:lang w:val="ru-RU"/>
        </w:rPr>
      </w:pPr>
      <w:r w:rsidRPr="000160C5">
        <w:rPr>
          <w:rFonts w:cs="Times New Roman"/>
          <w:szCs w:val="28"/>
          <w:lang w:val="ru-RU"/>
        </w:rPr>
        <w:t xml:space="preserve">Таким образом, исходя из </w:t>
      </w:r>
      <w:proofErr w:type="gramStart"/>
      <w:r w:rsidRPr="000160C5">
        <w:rPr>
          <w:rFonts w:cs="Times New Roman"/>
          <w:szCs w:val="28"/>
          <w:lang w:val="ru-RU"/>
        </w:rPr>
        <w:t>выше приведенных</w:t>
      </w:r>
      <w:proofErr w:type="gramEnd"/>
      <w:r w:rsidRPr="000160C5">
        <w:rPr>
          <w:rFonts w:cs="Times New Roman"/>
          <w:szCs w:val="28"/>
          <w:lang w:val="ru-RU"/>
        </w:rPr>
        <w:t xml:space="preserve"> примеров можно заключить, что административные санкции</w:t>
      </w:r>
      <w:r w:rsidR="00195F67" w:rsidRPr="000160C5">
        <w:rPr>
          <w:rFonts w:cs="Times New Roman"/>
          <w:szCs w:val="28"/>
          <w:lang w:val="ru-RU"/>
        </w:rPr>
        <w:t xml:space="preserve">, </w:t>
      </w:r>
      <w:r w:rsidRPr="000160C5">
        <w:rPr>
          <w:rFonts w:cs="Times New Roman"/>
          <w:szCs w:val="28"/>
          <w:lang w:val="ru-RU"/>
        </w:rPr>
        <w:t>применяемые к нарушителям в США, являются</w:t>
      </w:r>
      <w:r w:rsidR="00195F67" w:rsidRPr="000160C5">
        <w:rPr>
          <w:rFonts w:cs="Times New Roman"/>
          <w:szCs w:val="28"/>
          <w:lang w:val="ru-RU"/>
        </w:rPr>
        <w:t>,</w:t>
      </w:r>
      <w:r w:rsidRPr="000160C5">
        <w:rPr>
          <w:rFonts w:cs="Times New Roman"/>
          <w:szCs w:val="28"/>
          <w:lang w:val="ru-RU"/>
        </w:rPr>
        <w:t xml:space="preserve"> </w:t>
      </w:r>
      <w:r w:rsidR="00195F67" w:rsidRPr="000160C5">
        <w:rPr>
          <w:rFonts w:cs="Times New Roman"/>
          <w:szCs w:val="28"/>
          <w:lang w:val="ru-RU"/>
        </w:rPr>
        <w:t>во-первых, более суровыми,</w:t>
      </w:r>
      <w:r w:rsidR="00C9372D" w:rsidRPr="000160C5">
        <w:rPr>
          <w:rFonts w:cs="Times New Roman"/>
          <w:szCs w:val="28"/>
          <w:lang w:val="ru-RU"/>
        </w:rPr>
        <w:t xml:space="preserve"> нежели в России,</w:t>
      </w:r>
      <w:r w:rsidR="00195F67" w:rsidRPr="000160C5">
        <w:rPr>
          <w:rFonts w:cs="Times New Roman"/>
          <w:szCs w:val="28"/>
          <w:lang w:val="ru-RU"/>
        </w:rPr>
        <w:t xml:space="preserve"> а во-вторых, </w:t>
      </w:r>
      <w:r w:rsidR="00195F67" w:rsidRPr="000160C5">
        <w:rPr>
          <w:rFonts w:cs="Times New Roman"/>
          <w:szCs w:val="28"/>
          <w:lang w:val="ru-RU"/>
        </w:rPr>
        <w:lastRenderedPageBreak/>
        <w:t>показательными для иных участников рынка ценных бумаг, то есть выполняют не только карательную</w:t>
      </w:r>
      <w:r w:rsidR="00C9372D" w:rsidRPr="000160C5">
        <w:rPr>
          <w:rFonts w:cs="Times New Roman"/>
          <w:szCs w:val="28"/>
          <w:lang w:val="ru-RU"/>
        </w:rPr>
        <w:t xml:space="preserve"> функцию наказания</w:t>
      </w:r>
      <w:r w:rsidR="00195F67" w:rsidRPr="000160C5">
        <w:rPr>
          <w:rFonts w:cs="Times New Roman"/>
          <w:szCs w:val="28"/>
          <w:lang w:val="ru-RU"/>
        </w:rPr>
        <w:t xml:space="preserve">, но и превентивную. </w:t>
      </w:r>
    </w:p>
    <w:p w:rsidR="005F3933" w:rsidRPr="000160C5" w:rsidRDefault="002D16BA" w:rsidP="00695F03">
      <w:pPr>
        <w:pStyle w:val="TNR14"/>
        <w:rPr>
          <w:rFonts w:cs="Times New Roman"/>
          <w:szCs w:val="28"/>
          <w:lang w:val="ru-RU"/>
        </w:rPr>
      </w:pPr>
      <w:r w:rsidRPr="000160C5">
        <w:rPr>
          <w:rFonts w:cs="Times New Roman"/>
          <w:szCs w:val="28"/>
          <w:lang w:val="ru-RU"/>
        </w:rPr>
        <w:t xml:space="preserve">Говоря о превентивной функции наказания в США, стоит обратить внимание на статистику привлечения к ответственности, опубликованную на сайте Комиссии США по состоянию на 1 </w:t>
      </w:r>
      <w:r w:rsidR="00A437D1" w:rsidRPr="000160C5">
        <w:rPr>
          <w:rFonts w:cs="Times New Roman"/>
          <w:szCs w:val="28"/>
          <w:lang w:val="ru-RU"/>
        </w:rPr>
        <w:t>мая</w:t>
      </w:r>
      <w:r w:rsidRPr="000160C5">
        <w:rPr>
          <w:rFonts w:cs="Times New Roman"/>
          <w:szCs w:val="28"/>
          <w:lang w:val="ru-RU"/>
        </w:rPr>
        <w:t xml:space="preserve"> 2013 года</w:t>
      </w:r>
      <w:r w:rsidRPr="000160C5">
        <w:rPr>
          <w:rStyle w:val="a9"/>
          <w:rFonts w:cs="Times New Roman"/>
          <w:szCs w:val="28"/>
          <w:lang w:val="ru-RU"/>
        </w:rPr>
        <w:footnoteReference w:id="86"/>
      </w:r>
      <w:r w:rsidRPr="000160C5">
        <w:rPr>
          <w:rFonts w:cs="Times New Roman"/>
          <w:szCs w:val="28"/>
          <w:lang w:val="ru-RU"/>
        </w:rPr>
        <w:t>, согласно которой</w:t>
      </w:r>
      <w:r w:rsidR="00054085" w:rsidRPr="000160C5">
        <w:rPr>
          <w:rFonts w:cs="Times New Roman"/>
          <w:szCs w:val="28"/>
          <w:lang w:val="ru-RU"/>
        </w:rPr>
        <w:t xml:space="preserve"> бюджет США значительно (2,68 миллиарда долларов</w:t>
      </w:r>
      <w:r w:rsidR="006426DB" w:rsidRPr="000160C5">
        <w:rPr>
          <w:rFonts w:cs="Times New Roman"/>
          <w:szCs w:val="28"/>
          <w:lang w:val="ru-RU"/>
        </w:rPr>
        <w:t>!</w:t>
      </w:r>
      <w:r w:rsidR="00054085" w:rsidRPr="000160C5">
        <w:rPr>
          <w:rFonts w:cs="Times New Roman"/>
          <w:szCs w:val="28"/>
          <w:lang w:val="ru-RU"/>
        </w:rPr>
        <w:t xml:space="preserve">) пополняется за счет сумм взысканных штрафов, денежного удовлетворения, а также </w:t>
      </w:r>
      <w:proofErr w:type="gramStart"/>
      <w:r w:rsidR="00054085" w:rsidRPr="000160C5">
        <w:rPr>
          <w:rFonts w:cs="Times New Roman"/>
          <w:szCs w:val="28"/>
          <w:lang w:val="ru-RU"/>
        </w:rPr>
        <w:t>изъятия</w:t>
      </w:r>
      <w:proofErr w:type="gramEnd"/>
      <w:r w:rsidR="00054085" w:rsidRPr="000160C5">
        <w:rPr>
          <w:rFonts w:cs="Times New Roman"/>
          <w:szCs w:val="28"/>
          <w:lang w:val="ru-RU"/>
        </w:rPr>
        <w:t xml:space="preserve"> незаконно полученного в доход государства. </w:t>
      </w:r>
    </w:p>
    <w:p w:rsidR="005F3933" w:rsidRPr="000160C5" w:rsidRDefault="005F3933" w:rsidP="00D73B8A">
      <w:pPr>
        <w:pStyle w:val="2"/>
        <w:rPr>
          <w:rFonts w:cs="Times New Roman"/>
          <w:szCs w:val="28"/>
        </w:rPr>
      </w:pPr>
      <w:bookmarkStart w:id="21" w:name="_Toc356162061"/>
      <w:r w:rsidRPr="000160C5">
        <w:rPr>
          <w:rFonts w:cs="Times New Roman"/>
          <w:szCs w:val="28"/>
        </w:rPr>
        <w:t>§2. Уголовная ответственность за нарушение требований по раскрытию информации</w:t>
      </w:r>
      <w:bookmarkEnd w:id="21"/>
    </w:p>
    <w:p w:rsidR="00136D2A" w:rsidRPr="000160C5" w:rsidRDefault="00136D2A" w:rsidP="00F03BED">
      <w:pPr>
        <w:pStyle w:val="TNR14"/>
        <w:rPr>
          <w:rFonts w:cs="Times New Roman"/>
          <w:szCs w:val="28"/>
          <w:lang w:val="ru-RU"/>
        </w:rPr>
      </w:pPr>
      <w:r w:rsidRPr="000160C5">
        <w:rPr>
          <w:rFonts w:cs="Times New Roman"/>
          <w:szCs w:val="28"/>
          <w:lang w:val="ru-RU"/>
        </w:rPr>
        <w:t xml:space="preserve">С теоретической точки зрения преступлением является виновное общественно-опасное деяние, за которое уголовным законодательством предусмотрено наказание. Граница между административным проступком и преступлением </w:t>
      </w:r>
      <w:r w:rsidR="00460B60" w:rsidRPr="000160C5">
        <w:rPr>
          <w:rFonts w:cs="Times New Roman"/>
          <w:szCs w:val="28"/>
          <w:lang w:val="ru-RU"/>
        </w:rPr>
        <w:t>проводится</w:t>
      </w:r>
      <w:r w:rsidRPr="000160C5">
        <w:rPr>
          <w:rFonts w:cs="Times New Roman"/>
          <w:szCs w:val="28"/>
          <w:lang w:val="ru-RU"/>
        </w:rPr>
        <w:t xml:space="preserve"> </w:t>
      </w:r>
      <w:r w:rsidR="00460B60" w:rsidRPr="000160C5">
        <w:rPr>
          <w:rFonts w:cs="Times New Roman"/>
          <w:szCs w:val="28"/>
          <w:lang w:val="ru-RU"/>
        </w:rPr>
        <w:t>по</w:t>
      </w:r>
      <w:r w:rsidRPr="000160C5">
        <w:rPr>
          <w:rFonts w:cs="Times New Roman"/>
          <w:szCs w:val="28"/>
          <w:lang w:val="ru-RU"/>
        </w:rPr>
        <w:t xml:space="preserve"> степени общественной опасности деяния, которая определяется </w:t>
      </w:r>
      <w:r w:rsidR="00D73B8A" w:rsidRPr="000160C5">
        <w:rPr>
          <w:rFonts w:cs="Times New Roman"/>
          <w:szCs w:val="28"/>
          <w:lang w:val="ru-RU"/>
        </w:rPr>
        <w:t>существенностью</w:t>
      </w:r>
      <w:r w:rsidRPr="000160C5">
        <w:rPr>
          <w:rFonts w:cs="Times New Roman"/>
          <w:szCs w:val="28"/>
          <w:lang w:val="ru-RU"/>
        </w:rPr>
        <w:t xml:space="preserve"> угрозы общественным интересам, наносимой тем или иным деянием.</w:t>
      </w:r>
    </w:p>
    <w:p w:rsidR="00136D2A" w:rsidRPr="000160C5" w:rsidRDefault="00136D2A" w:rsidP="00136D2A">
      <w:pPr>
        <w:pStyle w:val="TNR14"/>
        <w:rPr>
          <w:rFonts w:cs="Times New Roman"/>
          <w:szCs w:val="28"/>
          <w:lang w:val="ru-RU"/>
        </w:rPr>
      </w:pPr>
      <w:r w:rsidRPr="000160C5">
        <w:rPr>
          <w:rFonts w:cs="Times New Roman"/>
          <w:szCs w:val="28"/>
          <w:lang w:val="ru-RU"/>
        </w:rPr>
        <w:t>Как уже было отмечено выше, российская правоприменительная практика идет по пути признания правонарушений в области раскрытия  эмитентами информации в качестве административного проступка и квалифицируется по статье 15.19 КоАП.</w:t>
      </w:r>
    </w:p>
    <w:p w:rsidR="00136D2A" w:rsidRPr="000160C5" w:rsidRDefault="00136D2A" w:rsidP="00136D2A">
      <w:pPr>
        <w:pStyle w:val="TNR14"/>
        <w:rPr>
          <w:rFonts w:cs="Times New Roman"/>
          <w:szCs w:val="28"/>
          <w:lang w:val="ru-RU"/>
        </w:rPr>
      </w:pPr>
      <w:r w:rsidRPr="000160C5">
        <w:rPr>
          <w:rFonts w:cs="Times New Roman"/>
          <w:szCs w:val="28"/>
          <w:lang w:val="ru-RU"/>
        </w:rPr>
        <w:t>Однако помимо административной ответственности возможно применение и мер уголовной ответственности</w:t>
      </w:r>
      <w:r w:rsidR="00460B60" w:rsidRPr="000160C5">
        <w:rPr>
          <w:rFonts w:cs="Times New Roman"/>
          <w:szCs w:val="28"/>
          <w:lang w:val="ru-RU"/>
        </w:rPr>
        <w:t xml:space="preserve"> при признании соответствующего деяния общественно </w:t>
      </w:r>
      <w:proofErr w:type="gramStart"/>
      <w:r w:rsidR="00460B60" w:rsidRPr="000160C5">
        <w:rPr>
          <w:rFonts w:cs="Times New Roman"/>
          <w:szCs w:val="28"/>
          <w:lang w:val="ru-RU"/>
        </w:rPr>
        <w:t>опасным</w:t>
      </w:r>
      <w:proofErr w:type="gramEnd"/>
      <w:r w:rsidRPr="000160C5">
        <w:rPr>
          <w:rFonts w:cs="Times New Roman"/>
          <w:szCs w:val="28"/>
          <w:lang w:val="ru-RU"/>
        </w:rPr>
        <w:t>.</w:t>
      </w:r>
    </w:p>
    <w:p w:rsidR="00136D2A" w:rsidRPr="000160C5" w:rsidRDefault="00136D2A" w:rsidP="00136D2A">
      <w:pPr>
        <w:pStyle w:val="TNR14"/>
        <w:rPr>
          <w:rFonts w:cs="Times New Roman"/>
          <w:szCs w:val="28"/>
          <w:lang w:val="ru-RU"/>
        </w:rPr>
      </w:pPr>
      <w:r w:rsidRPr="000160C5">
        <w:rPr>
          <w:rFonts w:cs="Times New Roman"/>
          <w:szCs w:val="28"/>
          <w:lang w:val="ru-RU"/>
        </w:rPr>
        <w:t xml:space="preserve">Для привлечения к уголовной ответственности необходимо нормативное закрепление таковой, что </w:t>
      </w:r>
      <w:r w:rsidR="00460B60" w:rsidRPr="000160C5">
        <w:rPr>
          <w:rFonts w:cs="Times New Roman"/>
          <w:szCs w:val="28"/>
          <w:lang w:val="ru-RU"/>
        </w:rPr>
        <w:t>вытекает из основополагающего</w:t>
      </w:r>
      <w:r w:rsidRPr="000160C5">
        <w:rPr>
          <w:rFonts w:cs="Times New Roman"/>
          <w:szCs w:val="28"/>
          <w:lang w:val="ru-RU"/>
        </w:rPr>
        <w:t xml:space="preserve"> римск</w:t>
      </w:r>
      <w:r w:rsidR="00460B60" w:rsidRPr="000160C5">
        <w:rPr>
          <w:rFonts w:cs="Times New Roman"/>
          <w:szCs w:val="28"/>
          <w:lang w:val="ru-RU"/>
        </w:rPr>
        <w:t>ого</w:t>
      </w:r>
      <w:r w:rsidRPr="000160C5">
        <w:rPr>
          <w:rFonts w:cs="Times New Roman"/>
          <w:szCs w:val="28"/>
          <w:lang w:val="ru-RU"/>
        </w:rPr>
        <w:t xml:space="preserve"> принцип</w:t>
      </w:r>
      <w:r w:rsidR="00460B60" w:rsidRPr="000160C5">
        <w:rPr>
          <w:rFonts w:cs="Times New Roman"/>
          <w:szCs w:val="28"/>
          <w:lang w:val="ru-RU"/>
        </w:rPr>
        <w:t>а</w:t>
      </w:r>
      <w:r w:rsidRPr="000160C5">
        <w:rPr>
          <w:rFonts w:cs="Times New Roman"/>
          <w:szCs w:val="28"/>
          <w:lang w:val="ru-RU"/>
        </w:rPr>
        <w:t xml:space="preserve"> </w:t>
      </w:r>
      <w:proofErr w:type="spellStart"/>
      <w:r w:rsidRPr="000160C5">
        <w:rPr>
          <w:rFonts w:cs="Times New Roman"/>
          <w:szCs w:val="28"/>
        </w:rPr>
        <w:t>nullum</w:t>
      </w:r>
      <w:proofErr w:type="spellEnd"/>
      <w:r w:rsidRPr="000160C5">
        <w:rPr>
          <w:rFonts w:cs="Times New Roman"/>
          <w:szCs w:val="28"/>
          <w:lang w:val="ru-RU"/>
        </w:rPr>
        <w:t xml:space="preserve"> </w:t>
      </w:r>
      <w:proofErr w:type="spellStart"/>
      <w:r w:rsidRPr="000160C5">
        <w:rPr>
          <w:rFonts w:cs="Times New Roman"/>
          <w:szCs w:val="28"/>
        </w:rPr>
        <w:t>crimen</w:t>
      </w:r>
      <w:proofErr w:type="spellEnd"/>
      <w:r w:rsidRPr="000160C5">
        <w:rPr>
          <w:rFonts w:cs="Times New Roman"/>
          <w:szCs w:val="28"/>
          <w:lang w:val="ru-RU"/>
        </w:rPr>
        <w:t xml:space="preserve">, </w:t>
      </w:r>
      <w:proofErr w:type="spellStart"/>
      <w:r w:rsidRPr="000160C5">
        <w:rPr>
          <w:rFonts w:cs="Times New Roman"/>
          <w:szCs w:val="28"/>
        </w:rPr>
        <w:t>nulla</w:t>
      </w:r>
      <w:proofErr w:type="spellEnd"/>
      <w:r w:rsidRPr="000160C5">
        <w:rPr>
          <w:rFonts w:cs="Times New Roman"/>
          <w:szCs w:val="28"/>
          <w:lang w:val="ru-RU"/>
        </w:rPr>
        <w:t xml:space="preserve"> </w:t>
      </w:r>
      <w:proofErr w:type="spellStart"/>
      <w:r w:rsidRPr="000160C5">
        <w:rPr>
          <w:rFonts w:cs="Times New Roman"/>
          <w:szCs w:val="28"/>
        </w:rPr>
        <w:t>poena</w:t>
      </w:r>
      <w:proofErr w:type="spellEnd"/>
      <w:r w:rsidRPr="000160C5">
        <w:rPr>
          <w:rFonts w:cs="Times New Roman"/>
          <w:szCs w:val="28"/>
          <w:lang w:val="ru-RU"/>
        </w:rPr>
        <w:t xml:space="preserve">, </w:t>
      </w:r>
      <w:r w:rsidRPr="000160C5">
        <w:rPr>
          <w:rFonts w:cs="Times New Roman"/>
          <w:szCs w:val="28"/>
        </w:rPr>
        <w:t>sine</w:t>
      </w:r>
      <w:r w:rsidRPr="000160C5">
        <w:rPr>
          <w:rFonts w:cs="Times New Roman"/>
          <w:szCs w:val="28"/>
          <w:lang w:val="ru-RU"/>
        </w:rPr>
        <w:t xml:space="preserve"> </w:t>
      </w:r>
      <w:proofErr w:type="spellStart"/>
      <w:r w:rsidRPr="000160C5">
        <w:rPr>
          <w:rFonts w:cs="Times New Roman"/>
          <w:szCs w:val="28"/>
        </w:rPr>
        <w:t>lege</w:t>
      </w:r>
      <w:proofErr w:type="spellEnd"/>
      <w:r w:rsidRPr="000160C5">
        <w:rPr>
          <w:rFonts w:cs="Times New Roman"/>
          <w:szCs w:val="28"/>
          <w:lang w:val="ru-RU"/>
        </w:rPr>
        <w:t xml:space="preserve"> – преступлением признается лишь то деяние, которое закреплено законодательно</w:t>
      </w:r>
      <w:r w:rsidR="00D73B8A" w:rsidRPr="000160C5">
        <w:rPr>
          <w:rFonts w:cs="Times New Roman"/>
          <w:szCs w:val="28"/>
          <w:lang w:val="ru-RU"/>
        </w:rPr>
        <w:t xml:space="preserve"> в качестве такового</w:t>
      </w:r>
      <w:r w:rsidRPr="000160C5">
        <w:rPr>
          <w:rFonts w:cs="Times New Roman"/>
          <w:szCs w:val="28"/>
          <w:lang w:val="ru-RU"/>
        </w:rPr>
        <w:t>.</w:t>
      </w:r>
    </w:p>
    <w:p w:rsidR="00136D2A" w:rsidRPr="000160C5" w:rsidRDefault="000A26D8" w:rsidP="00136D2A">
      <w:pPr>
        <w:pStyle w:val="TNR14"/>
        <w:rPr>
          <w:rFonts w:cs="Times New Roman"/>
          <w:szCs w:val="28"/>
          <w:lang w:val="ru-RU"/>
        </w:rPr>
      </w:pPr>
      <w:r w:rsidRPr="000160C5">
        <w:rPr>
          <w:rFonts w:cs="Times New Roman"/>
          <w:szCs w:val="28"/>
          <w:lang w:val="ru-RU"/>
        </w:rPr>
        <w:lastRenderedPageBreak/>
        <w:t>Рассмотри</w:t>
      </w:r>
      <w:r w:rsidR="00460B60" w:rsidRPr="000160C5">
        <w:rPr>
          <w:rFonts w:cs="Times New Roman"/>
          <w:szCs w:val="28"/>
          <w:lang w:val="ru-RU"/>
        </w:rPr>
        <w:t>м</w:t>
      </w:r>
      <w:r w:rsidRPr="000160C5">
        <w:rPr>
          <w:rFonts w:cs="Times New Roman"/>
          <w:szCs w:val="28"/>
          <w:lang w:val="ru-RU"/>
        </w:rPr>
        <w:t xml:space="preserve"> нормативное закрепление уголовной ответственности за нарушение требований в области раскрытия информации в США и России.</w:t>
      </w:r>
      <w:r w:rsidR="00136D2A" w:rsidRPr="000160C5">
        <w:rPr>
          <w:rFonts w:cs="Times New Roman"/>
          <w:szCs w:val="28"/>
          <w:lang w:val="ru-RU"/>
        </w:rPr>
        <w:t xml:space="preserve"> </w:t>
      </w:r>
    </w:p>
    <w:p w:rsidR="00B66F17" w:rsidRPr="000160C5" w:rsidRDefault="00F03BED" w:rsidP="00F03BED">
      <w:pPr>
        <w:pStyle w:val="TNR14"/>
        <w:rPr>
          <w:rFonts w:cs="Times New Roman"/>
          <w:szCs w:val="28"/>
          <w:lang w:val="ru-RU"/>
        </w:rPr>
      </w:pPr>
      <w:r w:rsidRPr="000160C5">
        <w:rPr>
          <w:rFonts w:cs="Times New Roman"/>
          <w:szCs w:val="28"/>
          <w:lang w:val="ru-RU"/>
        </w:rPr>
        <w:t xml:space="preserve">В США нарушители требований законодательства о ценных бумагах привлекаются к ответственности в рамках гражданского или уголовного </w:t>
      </w:r>
      <w:r w:rsidR="00054CBF" w:rsidRPr="000160C5">
        <w:rPr>
          <w:rFonts w:cs="Times New Roman"/>
          <w:szCs w:val="28"/>
          <w:lang w:val="ru-RU"/>
        </w:rPr>
        <w:t>судо</w:t>
      </w:r>
      <w:r w:rsidRPr="000160C5">
        <w:rPr>
          <w:rFonts w:cs="Times New Roman"/>
          <w:szCs w:val="28"/>
          <w:lang w:val="ru-RU"/>
        </w:rPr>
        <w:t xml:space="preserve">производства. Комиссия США может </w:t>
      </w:r>
      <w:r w:rsidR="00054CBF" w:rsidRPr="000160C5">
        <w:rPr>
          <w:rFonts w:cs="Times New Roman"/>
          <w:szCs w:val="28"/>
          <w:lang w:val="ru-RU"/>
        </w:rPr>
        <w:t>предъявить</w:t>
      </w:r>
      <w:r w:rsidRPr="000160C5">
        <w:rPr>
          <w:rFonts w:cs="Times New Roman"/>
          <w:szCs w:val="28"/>
          <w:lang w:val="ru-RU"/>
        </w:rPr>
        <w:t xml:space="preserve"> гражданский иск </w:t>
      </w:r>
      <w:r w:rsidR="00460B60" w:rsidRPr="000160C5">
        <w:rPr>
          <w:rFonts w:cs="Times New Roman"/>
          <w:szCs w:val="28"/>
          <w:lang w:val="ru-RU"/>
        </w:rPr>
        <w:t>к</w:t>
      </w:r>
      <w:r w:rsidRPr="000160C5">
        <w:rPr>
          <w:rFonts w:cs="Times New Roman"/>
          <w:szCs w:val="28"/>
          <w:lang w:val="ru-RU"/>
        </w:rPr>
        <w:t xml:space="preserve"> нарушител</w:t>
      </w:r>
      <w:r w:rsidR="00460B60" w:rsidRPr="000160C5">
        <w:rPr>
          <w:rFonts w:cs="Times New Roman"/>
          <w:szCs w:val="28"/>
          <w:lang w:val="ru-RU"/>
        </w:rPr>
        <w:t>ю</w:t>
      </w:r>
      <w:r w:rsidRPr="000160C5">
        <w:rPr>
          <w:rFonts w:cs="Times New Roman"/>
          <w:szCs w:val="28"/>
          <w:lang w:val="ru-RU"/>
        </w:rPr>
        <w:t xml:space="preserve">, но </w:t>
      </w:r>
      <w:proofErr w:type="gramStart"/>
      <w:r w:rsidRPr="000160C5">
        <w:rPr>
          <w:rFonts w:cs="Times New Roman"/>
          <w:szCs w:val="28"/>
          <w:lang w:val="ru-RU"/>
        </w:rPr>
        <w:t>инициировать уголовное производство Комиссия США не компетентна</w:t>
      </w:r>
      <w:proofErr w:type="gramEnd"/>
      <w:r w:rsidRPr="000160C5">
        <w:rPr>
          <w:rFonts w:cs="Times New Roman"/>
          <w:szCs w:val="28"/>
          <w:lang w:val="ru-RU"/>
        </w:rPr>
        <w:t xml:space="preserve">. </w:t>
      </w:r>
      <w:r w:rsidR="00102F53" w:rsidRPr="000160C5">
        <w:rPr>
          <w:rFonts w:cs="Times New Roman"/>
          <w:szCs w:val="28"/>
          <w:lang w:val="ru-RU"/>
        </w:rPr>
        <w:t xml:space="preserve">Инициировать уголовное преследование вправе </w:t>
      </w:r>
      <w:r w:rsidRPr="000160C5">
        <w:rPr>
          <w:rFonts w:cs="Times New Roman"/>
          <w:szCs w:val="28"/>
          <w:lang w:val="ru-RU"/>
        </w:rPr>
        <w:t>Министерство юстиции и прокуроры США</w:t>
      </w:r>
      <w:r w:rsidR="00102F53" w:rsidRPr="000160C5">
        <w:rPr>
          <w:rFonts w:cs="Times New Roman"/>
          <w:szCs w:val="28"/>
          <w:lang w:val="ru-RU"/>
        </w:rPr>
        <w:t>.</w:t>
      </w:r>
      <w:r w:rsidR="00B66F17" w:rsidRPr="000160C5">
        <w:rPr>
          <w:rFonts w:cs="Times New Roman"/>
          <w:szCs w:val="28"/>
          <w:lang w:val="ru-RU"/>
        </w:rPr>
        <w:t xml:space="preserve"> </w:t>
      </w:r>
    </w:p>
    <w:p w:rsidR="00345DBE" w:rsidRPr="000160C5" w:rsidRDefault="00B66F17" w:rsidP="00F03BED">
      <w:pPr>
        <w:pStyle w:val="TNR14"/>
        <w:rPr>
          <w:rFonts w:cs="Times New Roman"/>
          <w:szCs w:val="28"/>
          <w:lang w:val="ru-RU"/>
        </w:rPr>
      </w:pPr>
      <w:proofErr w:type="gramStart"/>
      <w:r w:rsidRPr="000160C5">
        <w:rPr>
          <w:rFonts w:cs="Times New Roman"/>
          <w:szCs w:val="28"/>
          <w:lang w:val="ru-RU"/>
        </w:rPr>
        <w:t>В рамках нарушени</w:t>
      </w:r>
      <w:r w:rsidR="00054CBF" w:rsidRPr="000160C5">
        <w:rPr>
          <w:rFonts w:cs="Times New Roman"/>
          <w:szCs w:val="28"/>
          <w:lang w:val="ru-RU"/>
        </w:rPr>
        <w:t>я</w:t>
      </w:r>
      <w:r w:rsidRPr="000160C5">
        <w:rPr>
          <w:rFonts w:cs="Times New Roman"/>
          <w:szCs w:val="28"/>
          <w:lang w:val="ru-RU"/>
        </w:rPr>
        <w:t xml:space="preserve"> требований о раскрытии информации, прежде всего, стоит указать состав</w:t>
      </w:r>
      <w:r w:rsidR="00345DBE" w:rsidRPr="000160C5">
        <w:rPr>
          <w:rFonts w:cs="Times New Roman"/>
          <w:szCs w:val="28"/>
          <w:lang w:val="ru-RU"/>
        </w:rPr>
        <w:t xml:space="preserve"> преступления, содержащийся в Законе о торговле ценными бумагами 1934 г. Согласно статье 32 указанного акта, лицо, которое </w:t>
      </w:r>
      <w:r w:rsidR="00345DBE" w:rsidRPr="000160C5">
        <w:rPr>
          <w:rFonts w:cs="Times New Roman"/>
          <w:i/>
          <w:szCs w:val="28"/>
          <w:lang w:val="ru-RU"/>
        </w:rPr>
        <w:t>умышленно</w:t>
      </w:r>
      <w:r w:rsidR="00345DBE" w:rsidRPr="000160C5">
        <w:rPr>
          <w:rFonts w:cs="Times New Roman"/>
          <w:szCs w:val="28"/>
          <w:lang w:val="ru-RU"/>
        </w:rPr>
        <w:t xml:space="preserve"> нарушило любое положение закона или </w:t>
      </w:r>
      <w:r w:rsidR="00345DBE" w:rsidRPr="000160C5">
        <w:rPr>
          <w:rFonts w:cs="Times New Roman"/>
          <w:i/>
          <w:szCs w:val="28"/>
          <w:lang w:val="ru-RU"/>
        </w:rPr>
        <w:t>умышленно и осознанно</w:t>
      </w:r>
      <w:r w:rsidR="00345DBE" w:rsidRPr="000160C5">
        <w:rPr>
          <w:rFonts w:cs="Times New Roman"/>
          <w:szCs w:val="28"/>
          <w:lang w:val="ru-RU"/>
        </w:rPr>
        <w:t xml:space="preserve"> опубликовало ложные или вводящие в заблуждение сведения </w:t>
      </w:r>
      <w:r w:rsidR="00460B60" w:rsidRPr="000160C5">
        <w:rPr>
          <w:rFonts w:cs="Times New Roman"/>
          <w:szCs w:val="28"/>
          <w:lang w:val="ru-RU"/>
        </w:rPr>
        <w:t xml:space="preserve">(в рамках отчетности эмитента) </w:t>
      </w:r>
      <w:r w:rsidR="00345DBE" w:rsidRPr="000160C5">
        <w:rPr>
          <w:rFonts w:cs="Times New Roman"/>
          <w:szCs w:val="28"/>
          <w:lang w:val="ru-RU"/>
        </w:rPr>
        <w:t>относительно какого-либо существенного факта</w:t>
      </w:r>
      <w:r w:rsidR="00D73B8A" w:rsidRPr="000160C5">
        <w:rPr>
          <w:rFonts w:cs="Times New Roman"/>
          <w:szCs w:val="28"/>
          <w:lang w:val="ru-RU"/>
        </w:rPr>
        <w:t>,</w:t>
      </w:r>
      <w:r w:rsidR="00345DBE" w:rsidRPr="000160C5">
        <w:rPr>
          <w:rFonts w:cs="Times New Roman"/>
          <w:szCs w:val="28"/>
          <w:lang w:val="ru-RU"/>
        </w:rPr>
        <w:t xml:space="preserve"> подлежит штрафу в размере до 5 миллионов</w:t>
      </w:r>
      <w:proofErr w:type="gramEnd"/>
      <w:r w:rsidR="00345DBE" w:rsidRPr="000160C5">
        <w:rPr>
          <w:rFonts w:cs="Times New Roman"/>
          <w:szCs w:val="28"/>
          <w:lang w:val="ru-RU"/>
        </w:rPr>
        <w:t xml:space="preserve"> долларов (для юридических лиц – до 25 миллионов долларов) или лишению свободы сроком до 20 лет. </w:t>
      </w:r>
      <w:r w:rsidR="00460B60" w:rsidRPr="000160C5">
        <w:rPr>
          <w:rFonts w:cs="Times New Roman"/>
          <w:szCs w:val="28"/>
          <w:lang w:val="ru-RU"/>
        </w:rPr>
        <w:t>Обстоятельством</w:t>
      </w:r>
      <w:r w:rsidR="00054CBF" w:rsidRPr="000160C5">
        <w:rPr>
          <w:rFonts w:cs="Times New Roman"/>
          <w:szCs w:val="28"/>
          <w:lang w:val="ru-RU"/>
        </w:rPr>
        <w:t>,</w:t>
      </w:r>
      <w:r w:rsidR="00460B60" w:rsidRPr="000160C5">
        <w:rPr>
          <w:rFonts w:cs="Times New Roman"/>
          <w:szCs w:val="28"/>
          <w:lang w:val="ru-RU"/>
        </w:rPr>
        <w:t xml:space="preserve"> исключающим ответственность,</w:t>
      </w:r>
      <w:r w:rsidR="00054CBF" w:rsidRPr="000160C5">
        <w:rPr>
          <w:rFonts w:cs="Times New Roman"/>
          <w:szCs w:val="28"/>
          <w:lang w:val="ru-RU"/>
        </w:rPr>
        <w:t xml:space="preserve"> </w:t>
      </w:r>
      <w:r w:rsidR="00460B60" w:rsidRPr="000160C5">
        <w:rPr>
          <w:rFonts w:cs="Times New Roman"/>
          <w:szCs w:val="28"/>
          <w:lang w:val="ru-RU"/>
        </w:rPr>
        <w:t xml:space="preserve">является доказанный факт, что обвиняемое лицо </w:t>
      </w:r>
      <w:r w:rsidR="00054CBF" w:rsidRPr="000160C5">
        <w:rPr>
          <w:rFonts w:cs="Times New Roman"/>
          <w:szCs w:val="28"/>
          <w:lang w:val="ru-RU"/>
        </w:rPr>
        <w:t>не</w:t>
      </w:r>
      <w:r w:rsidR="00460B60" w:rsidRPr="000160C5">
        <w:rPr>
          <w:rFonts w:cs="Times New Roman"/>
          <w:szCs w:val="28"/>
          <w:lang w:val="ru-RU"/>
        </w:rPr>
        <w:t xml:space="preserve"> </w:t>
      </w:r>
      <w:r w:rsidR="00054CBF" w:rsidRPr="000160C5">
        <w:rPr>
          <w:rFonts w:cs="Times New Roman"/>
          <w:szCs w:val="28"/>
          <w:lang w:val="ru-RU"/>
        </w:rPr>
        <w:t>зна</w:t>
      </w:r>
      <w:r w:rsidR="00460B60" w:rsidRPr="000160C5">
        <w:rPr>
          <w:rFonts w:cs="Times New Roman"/>
          <w:szCs w:val="28"/>
          <w:lang w:val="ru-RU"/>
        </w:rPr>
        <w:t>ло</w:t>
      </w:r>
      <w:r w:rsidR="00345DBE" w:rsidRPr="000160C5">
        <w:rPr>
          <w:rFonts w:cs="Times New Roman"/>
          <w:szCs w:val="28"/>
          <w:lang w:val="ru-RU"/>
        </w:rPr>
        <w:t xml:space="preserve"> положения закона</w:t>
      </w:r>
      <w:r w:rsidR="00054CBF" w:rsidRPr="000160C5">
        <w:rPr>
          <w:rFonts w:cs="Times New Roman"/>
          <w:szCs w:val="28"/>
          <w:lang w:val="ru-RU"/>
        </w:rPr>
        <w:t>, нару</w:t>
      </w:r>
      <w:r w:rsidR="00460B60" w:rsidRPr="000160C5">
        <w:rPr>
          <w:rFonts w:cs="Times New Roman"/>
          <w:szCs w:val="28"/>
          <w:lang w:val="ru-RU"/>
        </w:rPr>
        <w:t xml:space="preserve">шение которого ему вменяется, то есть в данном случае </w:t>
      </w:r>
      <w:proofErr w:type="gramStart"/>
      <w:r w:rsidR="00460B60" w:rsidRPr="000160C5">
        <w:rPr>
          <w:rFonts w:cs="Times New Roman"/>
          <w:szCs w:val="28"/>
          <w:lang w:val="ru-RU"/>
        </w:rPr>
        <w:t xml:space="preserve">действует </w:t>
      </w:r>
      <w:r w:rsidR="00D73B8A" w:rsidRPr="000160C5">
        <w:rPr>
          <w:rFonts w:cs="Times New Roman"/>
          <w:szCs w:val="28"/>
          <w:lang w:val="ru-RU"/>
        </w:rPr>
        <w:t xml:space="preserve">неприменимый в России </w:t>
      </w:r>
      <w:r w:rsidR="00460B60" w:rsidRPr="000160C5">
        <w:rPr>
          <w:rFonts w:cs="Times New Roman"/>
          <w:szCs w:val="28"/>
          <w:lang w:val="ru-RU"/>
        </w:rPr>
        <w:t xml:space="preserve">принцип </w:t>
      </w:r>
      <w:r w:rsidR="00460B60" w:rsidRPr="000160C5">
        <w:rPr>
          <w:rFonts w:cs="Times New Roman"/>
          <w:i/>
          <w:szCs w:val="28"/>
          <w:lang w:val="ru-RU"/>
        </w:rPr>
        <w:t>незнание закона освобождает</w:t>
      </w:r>
      <w:proofErr w:type="gramEnd"/>
      <w:r w:rsidR="00460B60" w:rsidRPr="000160C5">
        <w:rPr>
          <w:rFonts w:cs="Times New Roman"/>
          <w:i/>
          <w:szCs w:val="28"/>
          <w:lang w:val="ru-RU"/>
        </w:rPr>
        <w:t xml:space="preserve"> лицо от ответственности</w:t>
      </w:r>
      <w:r w:rsidR="00345DBE" w:rsidRPr="000160C5">
        <w:rPr>
          <w:rFonts w:cs="Times New Roman"/>
          <w:szCs w:val="28"/>
          <w:lang w:val="ru-RU"/>
        </w:rPr>
        <w:t xml:space="preserve">. </w:t>
      </w:r>
    </w:p>
    <w:p w:rsidR="0044744D" w:rsidRPr="000160C5" w:rsidRDefault="0044744D" w:rsidP="00F03BED">
      <w:pPr>
        <w:pStyle w:val="TNR14"/>
        <w:rPr>
          <w:rFonts w:cs="Times New Roman"/>
          <w:szCs w:val="28"/>
          <w:lang w:val="ru-RU"/>
        </w:rPr>
      </w:pPr>
      <w:proofErr w:type="gramStart"/>
      <w:r w:rsidRPr="000160C5">
        <w:rPr>
          <w:rFonts w:cs="Times New Roman"/>
          <w:szCs w:val="28"/>
          <w:lang w:val="ru-RU"/>
        </w:rPr>
        <w:t>Суды толкуют умысел</w:t>
      </w:r>
      <w:r w:rsidR="00460B60" w:rsidRPr="000160C5">
        <w:rPr>
          <w:rFonts w:cs="Times New Roman"/>
          <w:szCs w:val="28"/>
          <w:lang w:val="ru-RU"/>
        </w:rPr>
        <w:t xml:space="preserve"> в контексте данной нормы по-разному: часть судов </w:t>
      </w:r>
      <w:r w:rsidR="007D3B16" w:rsidRPr="000160C5">
        <w:rPr>
          <w:rFonts w:cs="Times New Roman"/>
          <w:szCs w:val="28"/>
          <w:lang w:val="ru-RU"/>
        </w:rPr>
        <w:t>придерживае</w:t>
      </w:r>
      <w:r w:rsidR="00460B60" w:rsidRPr="000160C5">
        <w:rPr>
          <w:rFonts w:cs="Times New Roman"/>
          <w:szCs w:val="28"/>
          <w:lang w:val="ru-RU"/>
        </w:rPr>
        <w:t>тся позиции, что для признания лица виновным</w:t>
      </w:r>
      <w:r w:rsidRPr="000160C5">
        <w:rPr>
          <w:rFonts w:cs="Times New Roman"/>
          <w:szCs w:val="28"/>
          <w:lang w:val="ru-RU"/>
        </w:rPr>
        <w:t xml:space="preserve"> необходимо</w:t>
      </w:r>
      <w:r w:rsidR="00460B60" w:rsidRPr="000160C5">
        <w:rPr>
          <w:rFonts w:cs="Times New Roman"/>
          <w:szCs w:val="28"/>
          <w:lang w:val="ru-RU"/>
        </w:rPr>
        <w:t xml:space="preserve"> доказать его</w:t>
      </w:r>
      <w:r w:rsidRPr="000160C5">
        <w:rPr>
          <w:rFonts w:cs="Times New Roman"/>
          <w:szCs w:val="28"/>
          <w:lang w:val="ru-RU"/>
        </w:rPr>
        <w:t xml:space="preserve"> намерение нарушить закон, </w:t>
      </w:r>
      <w:r w:rsidR="00460B60" w:rsidRPr="000160C5">
        <w:rPr>
          <w:rFonts w:cs="Times New Roman"/>
          <w:szCs w:val="28"/>
          <w:lang w:val="ru-RU"/>
        </w:rPr>
        <w:t>другие</w:t>
      </w:r>
      <w:r w:rsidRPr="000160C5">
        <w:rPr>
          <w:rFonts w:cs="Times New Roman"/>
          <w:szCs w:val="28"/>
          <w:lang w:val="ru-RU"/>
        </w:rPr>
        <w:t xml:space="preserve"> – </w:t>
      </w:r>
      <w:r w:rsidR="00460B60" w:rsidRPr="000160C5">
        <w:rPr>
          <w:rFonts w:cs="Times New Roman"/>
          <w:szCs w:val="28"/>
          <w:lang w:val="ru-RU"/>
        </w:rPr>
        <w:t xml:space="preserve">что </w:t>
      </w:r>
      <w:r w:rsidRPr="000160C5">
        <w:rPr>
          <w:rFonts w:cs="Times New Roman"/>
          <w:szCs w:val="28"/>
          <w:lang w:val="ru-RU"/>
        </w:rPr>
        <w:t xml:space="preserve">достаточно </w:t>
      </w:r>
      <w:r w:rsidR="00460B60" w:rsidRPr="000160C5">
        <w:rPr>
          <w:rFonts w:cs="Times New Roman"/>
          <w:szCs w:val="28"/>
          <w:lang w:val="ru-RU"/>
        </w:rPr>
        <w:t xml:space="preserve">того, что </w:t>
      </w:r>
      <w:r w:rsidRPr="000160C5">
        <w:rPr>
          <w:rFonts w:cs="Times New Roman"/>
          <w:szCs w:val="28"/>
          <w:lang w:val="ru-RU"/>
        </w:rPr>
        <w:t>совершен</w:t>
      </w:r>
      <w:r w:rsidR="00460B60" w:rsidRPr="000160C5">
        <w:rPr>
          <w:rFonts w:cs="Times New Roman"/>
          <w:szCs w:val="28"/>
          <w:lang w:val="ru-RU"/>
        </w:rPr>
        <w:t>ное</w:t>
      </w:r>
      <w:r w:rsidRPr="000160C5">
        <w:rPr>
          <w:rFonts w:cs="Times New Roman"/>
          <w:szCs w:val="28"/>
          <w:lang w:val="ru-RU"/>
        </w:rPr>
        <w:t xml:space="preserve"> дея</w:t>
      </w:r>
      <w:r w:rsidR="00460B60" w:rsidRPr="000160C5">
        <w:rPr>
          <w:rFonts w:cs="Times New Roman"/>
          <w:szCs w:val="28"/>
          <w:lang w:val="ru-RU"/>
        </w:rPr>
        <w:t>ние</w:t>
      </w:r>
      <w:r w:rsidRPr="000160C5">
        <w:rPr>
          <w:rFonts w:cs="Times New Roman"/>
          <w:szCs w:val="28"/>
          <w:lang w:val="ru-RU"/>
        </w:rPr>
        <w:t xml:space="preserve"> </w:t>
      </w:r>
      <w:r w:rsidR="00460B60" w:rsidRPr="000160C5">
        <w:rPr>
          <w:rFonts w:cs="Times New Roman"/>
          <w:szCs w:val="28"/>
          <w:lang w:val="ru-RU"/>
        </w:rPr>
        <w:t>является противоправным и</w:t>
      </w:r>
      <w:r w:rsidRPr="000160C5">
        <w:rPr>
          <w:rFonts w:cs="Times New Roman"/>
          <w:szCs w:val="28"/>
          <w:lang w:val="ru-RU"/>
        </w:rPr>
        <w:t xml:space="preserve"> нет необходимости </w:t>
      </w:r>
      <w:r w:rsidR="00460B60" w:rsidRPr="000160C5">
        <w:rPr>
          <w:rFonts w:cs="Times New Roman"/>
          <w:szCs w:val="28"/>
          <w:lang w:val="ru-RU"/>
        </w:rPr>
        <w:t xml:space="preserve">доказывания того, что лицо осознавало </w:t>
      </w:r>
      <w:r w:rsidRPr="000160C5">
        <w:rPr>
          <w:rFonts w:cs="Times New Roman"/>
          <w:szCs w:val="28"/>
          <w:lang w:val="ru-RU"/>
        </w:rPr>
        <w:t>пр</w:t>
      </w:r>
      <w:r w:rsidR="00324D57" w:rsidRPr="000160C5">
        <w:rPr>
          <w:rFonts w:cs="Times New Roman"/>
          <w:szCs w:val="28"/>
          <w:lang w:val="ru-RU"/>
        </w:rPr>
        <w:t>о</w:t>
      </w:r>
      <w:r w:rsidRPr="000160C5">
        <w:rPr>
          <w:rFonts w:cs="Times New Roman"/>
          <w:szCs w:val="28"/>
          <w:lang w:val="ru-RU"/>
        </w:rPr>
        <w:t>тивоправност</w:t>
      </w:r>
      <w:r w:rsidR="00460B60" w:rsidRPr="000160C5">
        <w:rPr>
          <w:rFonts w:cs="Times New Roman"/>
          <w:szCs w:val="28"/>
          <w:lang w:val="ru-RU"/>
        </w:rPr>
        <w:t>ь</w:t>
      </w:r>
      <w:r w:rsidRPr="000160C5">
        <w:rPr>
          <w:rFonts w:cs="Times New Roman"/>
          <w:szCs w:val="28"/>
          <w:lang w:val="ru-RU"/>
        </w:rPr>
        <w:t xml:space="preserve"> такого де</w:t>
      </w:r>
      <w:r w:rsidR="007D3B16" w:rsidRPr="000160C5">
        <w:rPr>
          <w:rFonts w:cs="Times New Roman"/>
          <w:szCs w:val="28"/>
          <w:lang w:val="ru-RU"/>
        </w:rPr>
        <w:t>ян</w:t>
      </w:r>
      <w:r w:rsidRPr="000160C5">
        <w:rPr>
          <w:rFonts w:cs="Times New Roman"/>
          <w:szCs w:val="28"/>
          <w:lang w:val="ru-RU"/>
        </w:rPr>
        <w:t>ия</w:t>
      </w:r>
      <w:r w:rsidR="00324D57" w:rsidRPr="000160C5">
        <w:rPr>
          <w:rStyle w:val="a9"/>
          <w:rFonts w:cs="Times New Roman"/>
          <w:szCs w:val="28"/>
          <w:lang w:val="ru-RU"/>
        </w:rPr>
        <w:footnoteReference w:id="87"/>
      </w:r>
      <w:r w:rsidRPr="000160C5">
        <w:rPr>
          <w:rFonts w:cs="Times New Roman"/>
          <w:szCs w:val="28"/>
          <w:lang w:val="ru-RU"/>
        </w:rPr>
        <w:t>.</w:t>
      </w:r>
      <w:r w:rsidR="007D3B16" w:rsidRPr="000160C5">
        <w:rPr>
          <w:rFonts w:cs="Times New Roman"/>
          <w:szCs w:val="28"/>
          <w:lang w:val="ru-RU"/>
        </w:rPr>
        <w:t xml:space="preserve"> Таким образом, судебная практика складывается по-разно</w:t>
      </w:r>
      <w:r w:rsidR="008033D9" w:rsidRPr="000160C5">
        <w:rPr>
          <w:rFonts w:cs="Times New Roman"/>
          <w:szCs w:val="28"/>
          <w:lang w:val="ru-RU"/>
        </w:rPr>
        <w:t>м</w:t>
      </w:r>
      <w:r w:rsidR="007D3B16" w:rsidRPr="000160C5">
        <w:rPr>
          <w:rFonts w:cs="Times New Roman"/>
          <w:szCs w:val="28"/>
          <w:lang w:val="ru-RU"/>
        </w:rPr>
        <w:t xml:space="preserve">у в отношении дел по данному составу. </w:t>
      </w:r>
      <w:r w:rsidRPr="000160C5">
        <w:rPr>
          <w:rFonts w:cs="Times New Roman"/>
          <w:szCs w:val="28"/>
          <w:lang w:val="ru-RU"/>
        </w:rPr>
        <w:t xml:space="preserve"> </w:t>
      </w:r>
      <w:proofErr w:type="gramEnd"/>
    </w:p>
    <w:p w:rsidR="009D78B4" w:rsidRPr="000160C5" w:rsidRDefault="00324D57" w:rsidP="00F03BED">
      <w:pPr>
        <w:pStyle w:val="TNR14"/>
        <w:rPr>
          <w:rFonts w:cs="Times New Roman"/>
          <w:szCs w:val="28"/>
          <w:lang w:val="ru-RU"/>
        </w:rPr>
      </w:pPr>
      <w:r w:rsidRPr="000160C5">
        <w:rPr>
          <w:rFonts w:cs="Times New Roman"/>
          <w:szCs w:val="28"/>
          <w:lang w:val="ru-RU"/>
        </w:rPr>
        <w:lastRenderedPageBreak/>
        <w:t>Следующий состав преступления предусмотрен Законом Сарбейнса-Оксли (Sarbanes-Oxley Act) 2002 года</w:t>
      </w:r>
      <w:r w:rsidR="007D3B16" w:rsidRPr="000160C5">
        <w:rPr>
          <w:rFonts w:cs="Times New Roman"/>
          <w:szCs w:val="28"/>
          <w:lang w:val="ru-RU"/>
        </w:rPr>
        <w:t xml:space="preserve">, принятого после громкого скандала по делу </w:t>
      </w:r>
      <w:r w:rsidR="007D3B16" w:rsidRPr="000160C5">
        <w:rPr>
          <w:rFonts w:cs="Times New Roman"/>
          <w:szCs w:val="28"/>
        </w:rPr>
        <w:t>Enron</w:t>
      </w:r>
      <w:r w:rsidR="007D3B16" w:rsidRPr="000160C5">
        <w:rPr>
          <w:rFonts w:cs="Times New Roman"/>
          <w:szCs w:val="28"/>
          <w:lang w:val="ru-RU"/>
        </w:rPr>
        <w:t xml:space="preserve"> (см. далее)</w:t>
      </w:r>
      <w:r w:rsidRPr="000160C5">
        <w:rPr>
          <w:rFonts w:cs="Times New Roman"/>
          <w:szCs w:val="28"/>
          <w:lang w:val="ru-RU"/>
        </w:rPr>
        <w:t xml:space="preserve">. </w:t>
      </w:r>
      <w:r w:rsidR="007D3B16" w:rsidRPr="000160C5">
        <w:rPr>
          <w:rFonts w:cs="Times New Roman"/>
          <w:szCs w:val="28"/>
          <w:lang w:val="ru-RU"/>
        </w:rPr>
        <w:t>Указанный закон предусматривает обязанность высшего</w:t>
      </w:r>
      <w:r w:rsidRPr="000160C5">
        <w:rPr>
          <w:rFonts w:cs="Times New Roman"/>
          <w:szCs w:val="28"/>
          <w:lang w:val="ru-RU"/>
        </w:rPr>
        <w:t xml:space="preserve"> должностно</w:t>
      </w:r>
      <w:r w:rsidR="007D3B16" w:rsidRPr="000160C5">
        <w:rPr>
          <w:rFonts w:cs="Times New Roman"/>
          <w:szCs w:val="28"/>
          <w:lang w:val="ru-RU"/>
        </w:rPr>
        <w:t>го</w:t>
      </w:r>
      <w:r w:rsidRPr="000160C5">
        <w:rPr>
          <w:rFonts w:cs="Times New Roman"/>
          <w:szCs w:val="28"/>
          <w:lang w:val="ru-RU"/>
        </w:rPr>
        <w:t xml:space="preserve"> лиц</w:t>
      </w:r>
      <w:r w:rsidR="007D3B16" w:rsidRPr="000160C5">
        <w:rPr>
          <w:rFonts w:cs="Times New Roman"/>
          <w:szCs w:val="28"/>
          <w:lang w:val="ru-RU"/>
        </w:rPr>
        <w:t>а</w:t>
      </w:r>
      <w:r w:rsidRPr="000160C5">
        <w:rPr>
          <w:rFonts w:cs="Times New Roman"/>
          <w:szCs w:val="28"/>
          <w:lang w:val="ru-RU"/>
        </w:rPr>
        <w:t xml:space="preserve"> (</w:t>
      </w:r>
      <w:r w:rsidRPr="000160C5">
        <w:rPr>
          <w:rFonts w:cs="Times New Roman"/>
          <w:szCs w:val="28"/>
        </w:rPr>
        <w:t>chief</w:t>
      </w:r>
      <w:r w:rsidRPr="000160C5">
        <w:rPr>
          <w:rFonts w:cs="Times New Roman"/>
          <w:szCs w:val="28"/>
          <w:lang w:val="ru-RU"/>
        </w:rPr>
        <w:t xml:space="preserve"> </w:t>
      </w:r>
      <w:r w:rsidRPr="000160C5">
        <w:rPr>
          <w:rFonts w:cs="Times New Roman"/>
          <w:szCs w:val="28"/>
        </w:rPr>
        <w:t>executive</w:t>
      </w:r>
      <w:r w:rsidRPr="000160C5">
        <w:rPr>
          <w:rFonts w:cs="Times New Roman"/>
          <w:szCs w:val="28"/>
          <w:lang w:val="ru-RU"/>
        </w:rPr>
        <w:t xml:space="preserve"> </w:t>
      </w:r>
      <w:r w:rsidRPr="000160C5">
        <w:rPr>
          <w:rFonts w:cs="Times New Roman"/>
          <w:szCs w:val="28"/>
        </w:rPr>
        <w:t>officer</w:t>
      </w:r>
      <w:r w:rsidRPr="000160C5">
        <w:rPr>
          <w:rFonts w:cs="Times New Roman"/>
          <w:szCs w:val="28"/>
          <w:lang w:val="ru-RU"/>
        </w:rPr>
        <w:t>) и главн</w:t>
      </w:r>
      <w:r w:rsidR="007D3B16" w:rsidRPr="000160C5">
        <w:rPr>
          <w:rFonts w:cs="Times New Roman"/>
          <w:szCs w:val="28"/>
          <w:lang w:val="ru-RU"/>
        </w:rPr>
        <w:t>ого</w:t>
      </w:r>
      <w:r w:rsidRPr="000160C5">
        <w:rPr>
          <w:rFonts w:cs="Times New Roman"/>
          <w:szCs w:val="28"/>
          <w:lang w:val="ru-RU"/>
        </w:rPr>
        <w:t xml:space="preserve"> финансов</w:t>
      </w:r>
      <w:r w:rsidR="007D3B16" w:rsidRPr="000160C5">
        <w:rPr>
          <w:rFonts w:cs="Times New Roman"/>
          <w:szCs w:val="28"/>
          <w:lang w:val="ru-RU"/>
        </w:rPr>
        <w:t>ого</w:t>
      </w:r>
      <w:r w:rsidRPr="000160C5">
        <w:rPr>
          <w:rFonts w:cs="Times New Roman"/>
          <w:szCs w:val="28"/>
          <w:lang w:val="ru-RU"/>
        </w:rPr>
        <w:t xml:space="preserve"> работник</w:t>
      </w:r>
      <w:r w:rsidR="007D3B16" w:rsidRPr="000160C5">
        <w:rPr>
          <w:rFonts w:cs="Times New Roman"/>
          <w:szCs w:val="28"/>
          <w:lang w:val="ru-RU"/>
        </w:rPr>
        <w:t>а</w:t>
      </w:r>
      <w:r w:rsidRPr="000160C5">
        <w:rPr>
          <w:rFonts w:cs="Times New Roman"/>
          <w:szCs w:val="28"/>
          <w:lang w:val="ru-RU"/>
        </w:rPr>
        <w:t xml:space="preserve"> (</w:t>
      </w:r>
      <w:r w:rsidRPr="000160C5">
        <w:rPr>
          <w:rFonts w:cs="Times New Roman"/>
          <w:szCs w:val="28"/>
        </w:rPr>
        <w:t>chief</w:t>
      </w:r>
      <w:r w:rsidRPr="000160C5">
        <w:rPr>
          <w:rFonts w:cs="Times New Roman"/>
          <w:szCs w:val="28"/>
          <w:lang w:val="ru-RU"/>
        </w:rPr>
        <w:t xml:space="preserve"> </w:t>
      </w:r>
      <w:r w:rsidRPr="000160C5">
        <w:rPr>
          <w:rFonts w:cs="Times New Roman"/>
          <w:szCs w:val="28"/>
        </w:rPr>
        <w:t>financial</w:t>
      </w:r>
      <w:r w:rsidRPr="000160C5">
        <w:rPr>
          <w:rFonts w:cs="Times New Roman"/>
          <w:szCs w:val="28"/>
          <w:lang w:val="ru-RU"/>
        </w:rPr>
        <w:t xml:space="preserve"> </w:t>
      </w:r>
      <w:r w:rsidRPr="000160C5">
        <w:rPr>
          <w:rFonts w:cs="Times New Roman"/>
          <w:szCs w:val="28"/>
        </w:rPr>
        <w:t>officer</w:t>
      </w:r>
      <w:r w:rsidRPr="000160C5">
        <w:rPr>
          <w:rFonts w:cs="Times New Roman"/>
          <w:szCs w:val="28"/>
          <w:lang w:val="ru-RU"/>
        </w:rPr>
        <w:t xml:space="preserve">) подтвердить соответствие </w:t>
      </w:r>
      <w:r w:rsidR="007D3B16" w:rsidRPr="000160C5">
        <w:rPr>
          <w:rFonts w:cs="Times New Roman"/>
          <w:szCs w:val="28"/>
          <w:lang w:val="ru-RU"/>
        </w:rPr>
        <w:t xml:space="preserve">публикуемых </w:t>
      </w:r>
      <w:r w:rsidRPr="000160C5">
        <w:rPr>
          <w:rFonts w:cs="Times New Roman"/>
          <w:szCs w:val="28"/>
          <w:lang w:val="ru-RU"/>
        </w:rPr>
        <w:t xml:space="preserve">периодических финансовых отчетов компании </w:t>
      </w:r>
      <w:r w:rsidR="007D3B16" w:rsidRPr="000160C5">
        <w:rPr>
          <w:rFonts w:cs="Times New Roman"/>
          <w:szCs w:val="28"/>
          <w:lang w:val="ru-RU"/>
        </w:rPr>
        <w:t>применимым</w:t>
      </w:r>
      <w:r w:rsidRPr="000160C5">
        <w:rPr>
          <w:rFonts w:cs="Times New Roman"/>
          <w:szCs w:val="28"/>
          <w:lang w:val="ru-RU"/>
        </w:rPr>
        <w:t xml:space="preserve"> требованиям законодательства, а также отражение в них всех существенных финансовых показателей деятельности компании. </w:t>
      </w:r>
      <w:r w:rsidR="009D2BEC" w:rsidRPr="000160C5">
        <w:rPr>
          <w:rFonts w:cs="Times New Roman"/>
          <w:szCs w:val="28"/>
          <w:lang w:val="ru-RU"/>
        </w:rPr>
        <w:t>Лицо, к</w:t>
      </w:r>
      <w:r w:rsidR="007D3B16" w:rsidRPr="000160C5">
        <w:rPr>
          <w:rFonts w:cs="Times New Roman"/>
          <w:szCs w:val="28"/>
          <w:lang w:val="ru-RU"/>
        </w:rPr>
        <w:t>оторое осознанно</w:t>
      </w:r>
      <w:r w:rsidR="00EE05DA" w:rsidRPr="000160C5">
        <w:rPr>
          <w:rFonts w:cs="Times New Roman"/>
          <w:szCs w:val="28"/>
          <w:lang w:val="ru-RU"/>
        </w:rPr>
        <w:t xml:space="preserve"> (“</w:t>
      </w:r>
      <w:r w:rsidR="00EE05DA" w:rsidRPr="000160C5">
        <w:rPr>
          <w:rFonts w:cs="Times New Roman"/>
          <w:szCs w:val="28"/>
        </w:rPr>
        <w:t>knowingly</w:t>
      </w:r>
      <w:r w:rsidR="00EE05DA" w:rsidRPr="000160C5">
        <w:rPr>
          <w:rFonts w:cs="Times New Roman"/>
          <w:szCs w:val="28"/>
          <w:lang w:val="ru-RU"/>
        </w:rPr>
        <w:t>”)</w:t>
      </w:r>
      <w:r w:rsidR="007D3B16" w:rsidRPr="000160C5">
        <w:rPr>
          <w:rFonts w:cs="Times New Roman"/>
          <w:szCs w:val="28"/>
          <w:lang w:val="ru-RU"/>
        </w:rPr>
        <w:t xml:space="preserve"> </w:t>
      </w:r>
      <w:r w:rsidR="009D2BEC" w:rsidRPr="000160C5">
        <w:rPr>
          <w:rFonts w:cs="Times New Roman"/>
          <w:szCs w:val="28"/>
          <w:lang w:val="ru-RU"/>
        </w:rPr>
        <w:t>предоставило ложное подтверждение такого соответствия, может быть оштрафовано в размере до 1 миллиона долларов или лишено свободы сроком до 10 лет. При умышленном деянии</w:t>
      </w:r>
      <w:r w:rsidR="00EE05DA" w:rsidRPr="000160C5">
        <w:rPr>
          <w:rFonts w:cs="Times New Roman"/>
          <w:szCs w:val="28"/>
          <w:lang w:val="ru-RU"/>
        </w:rPr>
        <w:t xml:space="preserve"> (“</w:t>
      </w:r>
      <w:r w:rsidR="00EE05DA" w:rsidRPr="000160C5">
        <w:rPr>
          <w:rFonts w:cs="Times New Roman"/>
          <w:szCs w:val="28"/>
        </w:rPr>
        <w:t>wil</w:t>
      </w:r>
      <w:r w:rsidR="00AA46C4">
        <w:rPr>
          <w:rFonts w:cs="Times New Roman"/>
          <w:szCs w:val="28"/>
        </w:rPr>
        <w:t>l</w:t>
      </w:r>
      <w:r w:rsidR="00EE05DA" w:rsidRPr="000160C5">
        <w:rPr>
          <w:rFonts w:cs="Times New Roman"/>
          <w:szCs w:val="28"/>
        </w:rPr>
        <w:t>fully</w:t>
      </w:r>
      <w:r w:rsidR="00EE05DA" w:rsidRPr="000160C5">
        <w:rPr>
          <w:rFonts w:cs="Times New Roman"/>
          <w:szCs w:val="28"/>
          <w:lang w:val="ru-RU"/>
        </w:rPr>
        <w:t>”)</w:t>
      </w:r>
      <w:r w:rsidR="009D2BEC" w:rsidRPr="000160C5">
        <w:rPr>
          <w:rFonts w:cs="Times New Roman"/>
          <w:szCs w:val="28"/>
          <w:lang w:val="ru-RU"/>
        </w:rPr>
        <w:t xml:space="preserve"> размер штрафа возрастает до 5 миллионов долларов, а срок лишения свободы – до 20 лет. </w:t>
      </w:r>
    </w:p>
    <w:p w:rsidR="009D78B4" w:rsidRPr="000160C5" w:rsidRDefault="005528FD" w:rsidP="00F03BED">
      <w:pPr>
        <w:pStyle w:val="TNR14"/>
        <w:rPr>
          <w:rFonts w:cs="Times New Roman"/>
          <w:szCs w:val="28"/>
          <w:lang w:val="ru-RU"/>
        </w:rPr>
      </w:pPr>
      <w:r w:rsidRPr="000160C5">
        <w:rPr>
          <w:rFonts w:cs="Times New Roman"/>
          <w:szCs w:val="28"/>
          <w:lang w:val="ru-RU"/>
        </w:rPr>
        <w:t xml:space="preserve">В одном из судебных решений было сформулировано необходимое </w:t>
      </w:r>
      <w:r w:rsidR="00AA46C4">
        <w:rPr>
          <w:rFonts w:cs="Times New Roman"/>
          <w:szCs w:val="28"/>
          <w:lang w:val="ru-RU"/>
        </w:rPr>
        <w:t xml:space="preserve">и достаточное </w:t>
      </w:r>
      <w:r w:rsidRPr="000160C5">
        <w:rPr>
          <w:rFonts w:cs="Times New Roman"/>
          <w:szCs w:val="28"/>
          <w:lang w:val="ru-RU"/>
        </w:rPr>
        <w:t>условие</w:t>
      </w:r>
      <w:r w:rsidR="00AA46C4">
        <w:rPr>
          <w:rFonts w:cs="Times New Roman"/>
          <w:szCs w:val="28"/>
          <w:lang w:val="ru-RU"/>
        </w:rPr>
        <w:t xml:space="preserve"> для</w:t>
      </w:r>
      <w:r w:rsidRPr="000160C5">
        <w:rPr>
          <w:rFonts w:cs="Times New Roman"/>
          <w:szCs w:val="28"/>
          <w:lang w:val="ru-RU"/>
        </w:rPr>
        <w:t xml:space="preserve"> </w:t>
      </w:r>
      <w:r w:rsidR="00EE05DA" w:rsidRPr="000160C5">
        <w:rPr>
          <w:rFonts w:cs="Times New Roman"/>
          <w:szCs w:val="28"/>
          <w:lang w:val="ru-RU"/>
        </w:rPr>
        <w:t>признания</w:t>
      </w:r>
      <w:r w:rsidRPr="000160C5">
        <w:rPr>
          <w:rFonts w:cs="Times New Roman"/>
          <w:szCs w:val="28"/>
          <w:lang w:val="ru-RU"/>
        </w:rPr>
        <w:t xml:space="preserve"> поведения нарушителя</w:t>
      </w:r>
      <w:r w:rsidR="009D78B4" w:rsidRPr="000160C5">
        <w:rPr>
          <w:rFonts w:cs="Times New Roman"/>
          <w:szCs w:val="28"/>
          <w:lang w:val="ru-RU"/>
        </w:rPr>
        <w:t xml:space="preserve"> по данному составу</w:t>
      </w:r>
      <w:r w:rsidR="00A15F32" w:rsidRPr="000160C5">
        <w:rPr>
          <w:rFonts w:cs="Times New Roman"/>
          <w:szCs w:val="28"/>
          <w:lang w:val="ru-RU"/>
        </w:rPr>
        <w:t xml:space="preserve"> противоп</w:t>
      </w:r>
      <w:r w:rsidR="00EE05DA" w:rsidRPr="000160C5">
        <w:rPr>
          <w:rFonts w:cs="Times New Roman"/>
          <w:szCs w:val="28"/>
          <w:lang w:val="ru-RU"/>
        </w:rPr>
        <w:t>р</w:t>
      </w:r>
      <w:r w:rsidR="00A15F32" w:rsidRPr="000160C5">
        <w:rPr>
          <w:rFonts w:cs="Times New Roman"/>
          <w:szCs w:val="28"/>
          <w:lang w:val="ru-RU"/>
        </w:rPr>
        <w:t>а</w:t>
      </w:r>
      <w:r w:rsidR="00EE05DA" w:rsidRPr="000160C5">
        <w:rPr>
          <w:rFonts w:cs="Times New Roman"/>
          <w:szCs w:val="28"/>
          <w:lang w:val="ru-RU"/>
        </w:rPr>
        <w:t>вным</w:t>
      </w:r>
      <w:r w:rsidRPr="000160C5">
        <w:rPr>
          <w:rFonts w:cs="Times New Roman"/>
          <w:szCs w:val="28"/>
          <w:lang w:val="ru-RU"/>
        </w:rPr>
        <w:t xml:space="preserve">: </w:t>
      </w:r>
      <w:r w:rsidR="00AA46C4">
        <w:rPr>
          <w:rFonts w:cs="Times New Roman"/>
          <w:szCs w:val="28"/>
          <w:lang w:val="ru-RU"/>
        </w:rPr>
        <w:t>о</w:t>
      </w:r>
      <w:r w:rsidRPr="000160C5">
        <w:rPr>
          <w:rFonts w:cs="Times New Roman"/>
          <w:szCs w:val="28"/>
          <w:lang w:val="ru-RU"/>
        </w:rPr>
        <w:t>сведомленность должностного лица о ложной информации, содержащейся в отчете,</w:t>
      </w:r>
      <w:r w:rsidR="00E834EB" w:rsidRPr="000160C5">
        <w:rPr>
          <w:rFonts w:cs="Times New Roman"/>
          <w:szCs w:val="28"/>
          <w:lang w:val="ru-RU"/>
        </w:rPr>
        <w:t xml:space="preserve"> его подтверждение </w:t>
      </w:r>
      <w:r w:rsidR="007D3B16" w:rsidRPr="000160C5">
        <w:rPr>
          <w:rFonts w:cs="Times New Roman"/>
          <w:szCs w:val="28"/>
          <w:lang w:val="ru-RU"/>
        </w:rPr>
        <w:t>верности и точности</w:t>
      </w:r>
      <w:r w:rsidR="00E834EB" w:rsidRPr="000160C5">
        <w:rPr>
          <w:rFonts w:cs="Times New Roman"/>
          <w:szCs w:val="28"/>
          <w:lang w:val="ru-RU"/>
        </w:rPr>
        <w:t xml:space="preserve"> сведений, содержащихся в отчете, при условии осведомленности</w:t>
      </w:r>
      <w:r w:rsidR="007D3B16" w:rsidRPr="000160C5">
        <w:rPr>
          <w:rFonts w:cs="Times New Roman"/>
          <w:szCs w:val="28"/>
          <w:lang w:val="ru-RU"/>
        </w:rPr>
        <w:t xml:space="preserve"> указанного лица о </w:t>
      </w:r>
      <w:r w:rsidR="00E834EB" w:rsidRPr="000160C5">
        <w:rPr>
          <w:rFonts w:cs="Times New Roman"/>
          <w:szCs w:val="28"/>
          <w:lang w:val="ru-RU"/>
        </w:rPr>
        <w:t>противоправно</w:t>
      </w:r>
      <w:r w:rsidR="007D3B16" w:rsidRPr="000160C5">
        <w:rPr>
          <w:rFonts w:cs="Times New Roman"/>
          <w:szCs w:val="28"/>
          <w:lang w:val="ru-RU"/>
        </w:rPr>
        <w:t>сти такого подтверждения</w:t>
      </w:r>
      <w:r w:rsidR="00E834EB" w:rsidRPr="000160C5">
        <w:rPr>
          <w:rFonts w:cs="Times New Roman"/>
          <w:szCs w:val="28"/>
          <w:lang w:val="ru-RU"/>
        </w:rPr>
        <w:t xml:space="preserve"> и намерения преступить закон.</w:t>
      </w:r>
      <w:r w:rsidR="00EE05DA" w:rsidRPr="000160C5">
        <w:rPr>
          <w:rFonts w:cs="Times New Roman"/>
          <w:szCs w:val="28"/>
          <w:lang w:val="ru-RU"/>
        </w:rPr>
        <w:t xml:space="preserve"> Некоторым судам достаточно </w:t>
      </w:r>
      <w:r w:rsidR="00E663C6" w:rsidRPr="000160C5">
        <w:rPr>
          <w:rFonts w:cs="Times New Roman"/>
          <w:szCs w:val="28"/>
          <w:lang w:val="ru-RU"/>
        </w:rPr>
        <w:t xml:space="preserve">лишь </w:t>
      </w:r>
      <w:r w:rsidR="00EE05DA" w:rsidRPr="000160C5">
        <w:rPr>
          <w:rFonts w:cs="Times New Roman"/>
          <w:szCs w:val="28"/>
          <w:lang w:val="ru-RU"/>
        </w:rPr>
        <w:t>того, что нарушитель осознавал свое поведение в качестве неправильного (</w:t>
      </w:r>
      <w:r w:rsidR="00AA46C4" w:rsidRPr="00AA46C4">
        <w:rPr>
          <w:rFonts w:cs="Times New Roman"/>
          <w:szCs w:val="28"/>
          <w:lang w:val="ru-RU"/>
        </w:rPr>
        <w:t>“</w:t>
      </w:r>
      <w:r w:rsidR="00EE05DA" w:rsidRPr="000160C5">
        <w:rPr>
          <w:rFonts w:cs="Times New Roman"/>
          <w:szCs w:val="28"/>
        </w:rPr>
        <w:t>wrongful</w:t>
      </w:r>
      <w:r w:rsidR="00AA46C4" w:rsidRPr="00AA46C4">
        <w:rPr>
          <w:rFonts w:cs="Times New Roman"/>
          <w:szCs w:val="28"/>
          <w:lang w:val="ru-RU"/>
        </w:rPr>
        <w:t>”</w:t>
      </w:r>
      <w:r w:rsidR="00EE05DA" w:rsidRPr="000160C5">
        <w:rPr>
          <w:rFonts w:cs="Times New Roman"/>
          <w:szCs w:val="28"/>
          <w:lang w:val="ru-RU"/>
        </w:rPr>
        <w:t>), но не осознавал его в качестве противозаконного (“</w:t>
      </w:r>
      <w:r w:rsidR="00EE05DA" w:rsidRPr="000160C5">
        <w:rPr>
          <w:rFonts w:cs="Times New Roman"/>
          <w:szCs w:val="28"/>
        </w:rPr>
        <w:t>unlawful</w:t>
      </w:r>
      <w:r w:rsidR="00EE05DA" w:rsidRPr="000160C5">
        <w:rPr>
          <w:rFonts w:cs="Times New Roman"/>
          <w:szCs w:val="28"/>
          <w:lang w:val="ru-RU"/>
        </w:rPr>
        <w:t>”).</w:t>
      </w:r>
      <w:r w:rsidR="00E834EB" w:rsidRPr="000160C5">
        <w:rPr>
          <w:rFonts w:cs="Times New Roman"/>
          <w:szCs w:val="28"/>
          <w:lang w:val="ru-RU"/>
        </w:rPr>
        <w:t xml:space="preserve">  </w:t>
      </w:r>
      <w:r w:rsidR="00E834EB" w:rsidRPr="000160C5">
        <w:rPr>
          <w:rFonts w:cs="Times New Roman"/>
          <w:szCs w:val="28"/>
          <w:lang w:val="ru-RU"/>
        </w:rPr>
        <w:tab/>
        <w:t xml:space="preserve"> </w:t>
      </w:r>
    </w:p>
    <w:p w:rsidR="00425502" w:rsidRPr="000160C5" w:rsidRDefault="007D3B16" w:rsidP="00F03BED">
      <w:pPr>
        <w:pStyle w:val="TNR14"/>
        <w:rPr>
          <w:rFonts w:cs="Times New Roman"/>
          <w:szCs w:val="28"/>
          <w:lang w:val="ru-RU"/>
        </w:rPr>
      </w:pPr>
      <w:r w:rsidRPr="000160C5">
        <w:rPr>
          <w:rFonts w:cs="Times New Roman"/>
          <w:szCs w:val="28"/>
          <w:lang w:val="ru-RU"/>
        </w:rPr>
        <w:t>С точки зрения применимости указанных норм, п</w:t>
      </w:r>
      <w:r w:rsidR="009D78B4" w:rsidRPr="000160C5">
        <w:rPr>
          <w:rFonts w:cs="Times New Roman"/>
          <w:szCs w:val="28"/>
          <w:lang w:val="ru-RU"/>
        </w:rPr>
        <w:t xml:space="preserve">ожалуй, одним из самых известных случаев </w:t>
      </w:r>
      <w:r w:rsidR="00874D50" w:rsidRPr="000160C5">
        <w:rPr>
          <w:rFonts w:cs="Times New Roman"/>
          <w:szCs w:val="28"/>
          <w:lang w:val="ru-RU"/>
        </w:rPr>
        <w:t xml:space="preserve">является </w:t>
      </w:r>
      <w:r w:rsidRPr="000160C5">
        <w:rPr>
          <w:rFonts w:cs="Times New Roman"/>
          <w:szCs w:val="28"/>
          <w:lang w:val="ru-RU"/>
        </w:rPr>
        <w:t xml:space="preserve">упомянутое </w:t>
      </w:r>
      <w:r w:rsidR="00874D50" w:rsidRPr="000160C5">
        <w:rPr>
          <w:rFonts w:cs="Times New Roman"/>
          <w:szCs w:val="28"/>
          <w:lang w:val="ru-RU"/>
        </w:rPr>
        <w:t xml:space="preserve">дело </w:t>
      </w:r>
      <w:r w:rsidR="00874D50" w:rsidRPr="000160C5">
        <w:rPr>
          <w:rFonts w:cs="Times New Roman"/>
          <w:szCs w:val="28"/>
        </w:rPr>
        <w:t>Enron</w:t>
      </w:r>
      <w:r w:rsidR="00874D50" w:rsidRPr="000160C5">
        <w:rPr>
          <w:rFonts w:cs="Times New Roman"/>
          <w:szCs w:val="28"/>
          <w:lang w:val="ru-RU"/>
        </w:rPr>
        <w:t xml:space="preserve">. Напомним, что банкротство американской энергетической компании </w:t>
      </w:r>
      <w:r w:rsidR="00874D50" w:rsidRPr="000160C5">
        <w:rPr>
          <w:rFonts w:cs="Times New Roman"/>
          <w:szCs w:val="28"/>
        </w:rPr>
        <w:t>Enron</w:t>
      </w:r>
      <w:r w:rsidR="00874D50" w:rsidRPr="000160C5">
        <w:rPr>
          <w:rFonts w:cs="Times New Roman"/>
          <w:szCs w:val="28"/>
          <w:lang w:val="ru-RU"/>
        </w:rPr>
        <w:t xml:space="preserve"> в 2001 году стало одним из крупнейших в мировой истории. Основным обвинением, выдвигавшимся против </w:t>
      </w:r>
      <w:proofErr w:type="spellStart"/>
      <w:r w:rsidR="00874D50" w:rsidRPr="000160C5">
        <w:rPr>
          <w:rFonts w:cs="Times New Roman"/>
          <w:szCs w:val="28"/>
          <w:lang w:val="ru-RU"/>
        </w:rPr>
        <w:t>Enron</w:t>
      </w:r>
      <w:proofErr w:type="spellEnd"/>
      <w:r w:rsidR="00874D50" w:rsidRPr="000160C5">
        <w:rPr>
          <w:rFonts w:cs="Times New Roman"/>
          <w:szCs w:val="28"/>
          <w:lang w:val="ru-RU"/>
        </w:rPr>
        <w:t>, была фальсификация отчётности, вводившая в заблуждение инвесторов. Главны</w:t>
      </w:r>
      <w:r w:rsidRPr="000160C5">
        <w:rPr>
          <w:rFonts w:cs="Times New Roman"/>
          <w:szCs w:val="28"/>
          <w:lang w:val="ru-RU"/>
        </w:rPr>
        <w:t>е должностные лица</w:t>
      </w:r>
      <w:r w:rsidR="00874D50" w:rsidRPr="000160C5">
        <w:rPr>
          <w:rFonts w:cs="Times New Roman"/>
          <w:szCs w:val="28"/>
          <w:lang w:val="ru-RU"/>
        </w:rPr>
        <w:t xml:space="preserve"> Кеннет Лей и </w:t>
      </w:r>
      <w:proofErr w:type="spellStart"/>
      <w:r w:rsidR="00874D50" w:rsidRPr="000160C5">
        <w:rPr>
          <w:rFonts w:cs="Times New Roman"/>
          <w:szCs w:val="28"/>
          <w:lang w:val="ru-RU"/>
        </w:rPr>
        <w:t>Джеффри</w:t>
      </w:r>
      <w:proofErr w:type="spellEnd"/>
      <w:r w:rsidR="00874D50" w:rsidRPr="000160C5">
        <w:rPr>
          <w:rFonts w:cs="Times New Roman"/>
          <w:szCs w:val="28"/>
          <w:lang w:val="ru-RU"/>
        </w:rPr>
        <w:t xml:space="preserve"> </w:t>
      </w:r>
      <w:proofErr w:type="spellStart"/>
      <w:r w:rsidR="00874D50" w:rsidRPr="000160C5">
        <w:rPr>
          <w:rFonts w:cs="Times New Roman"/>
          <w:szCs w:val="28"/>
          <w:lang w:val="ru-RU"/>
        </w:rPr>
        <w:t>Скиллинг</w:t>
      </w:r>
      <w:proofErr w:type="spellEnd"/>
      <w:r w:rsidR="00874D50" w:rsidRPr="000160C5">
        <w:rPr>
          <w:rFonts w:cs="Times New Roman"/>
          <w:szCs w:val="28"/>
          <w:lang w:val="ru-RU"/>
        </w:rPr>
        <w:t xml:space="preserve"> были приговорены к 45 и 24 годам соответственно. Обвинительный приговор каждого из них содержал множество статей, в том </w:t>
      </w:r>
      <w:r w:rsidR="00874D50" w:rsidRPr="000160C5">
        <w:rPr>
          <w:rFonts w:cs="Times New Roman"/>
          <w:szCs w:val="28"/>
          <w:lang w:val="ru-RU"/>
        </w:rPr>
        <w:lastRenderedPageBreak/>
        <w:t>числе фальсификацию финансовых отчетов</w:t>
      </w:r>
      <w:r w:rsidR="00DB290B" w:rsidRPr="000160C5">
        <w:rPr>
          <w:rStyle w:val="a9"/>
          <w:rFonts w:cs="Times New Roman"/>
          <w:szCs w:val="28"/>
          <w:lang w:val="ru-RU"/>
        </w:rPr>
        <w:footnoteReference w:id="88"/>
      </w:r>
      <w:r w:rsidR="00874D50" w:rsidRPr="000160C5">
        <w:rPr>
          <w:rFonts w:cs="Times New Roman"/>
          <w:szCs w:val="28"/>
          <w:lang w:val="ru-RU"/>
        </w:rPr>
        <w:t>.</w:t>
      </w:r>
      <w:r w:rsidR="00425502" w:rsidRPr="000160C5">
        <w:rPr>
          <w:rFonts w:cs="Times New Roman"/>
          <w:szCs w:val="28"/>
          <w:lang w:val="ru-RU"/>
        </w:rPr>
        <w:t xml:space="preserve"> Результатом скандала </w:t>
      </w:r>
      <w:proofErr w:type="spellStart"/>
      <w:r w:rsidR="00425502" w:rsidRPr="000160C5">
        <w:rPr>
          <w:rFonts w:cs="Times New Roman"/>
          <w:szCs w:val="28"/>
          <w:lang w:val="ru-RU"/>
        </w:rPr>
        <w:t>Enron</w:t>
      </w:r>
      <w:proofErr w:type="spellEnd"/>
      <w:r w:rsidR="00425502" w:rsidRPr="000160C5">
        <w:rPr>
          <w:rFonts w:cs="Times New Roman"/>
          <w:szCs w:val="28"/>
          <w:lang w:val="ru-RU"/>
        </w:rPr>
        <w:t xml:space="preserve"> стала разработка и принятие выше упомянутого Закона Сарбейнса-Оксли (Sarbanes-Oxley Act) 2002 года.</w:t>
      </w:r>
    </w:p>
    <w:p w:rsidR="00EC2639" w:rsidRPr="000160C5" w:rsidRDefault="007D3B16" w:rsidP="00F03BED">
      <w:pPr>
        <w:pStyle w:val="TNR14"/>
        <w:rPr>
          <w:rFonts w:cs="Times New Roman"/>
          <w:szCs w:val="28"/>
          <w:lang w:val="ru-RU"/>
        </w:rPr>
      </w:pPr>
      <w:r w:rsidRPr="000160C5">
        <w:rPr>
          <w:rFonts w:cs="Times New Roman"/>
          <w:szCs w:val="28"/>
          <w:lang w:val="ru-RU"/>
        </w:rPr>
        <w:t>Нормативное закрепление уголовной ответственности в России отражено в статье 185.1 Уголовного кодекса РФ. П</w:t>
      </w:r>
      <w:r w:rsidR="00CD39C4" w:rsidRPr="000160C5">
        <w:rPr>
          <w:rFonts w:cs="Times New Roman"/>
          <w:szCs w:val="28"/>
          <w:lang w:val="ru-RU"/>
        </w:rPr>
        <w:t>редусмотрен</w:t>
      </w:r>
      <w:r w:rsidRPr="000160C5">
        <w:rPr>
          <w:rFonts w:cs="Times New Roman"/>
          <w:szCs w:val="28"/>
          <w:lang w:val="ru-RU"/>
        </w:rPr>
        <w:t>ный</w:t>
      </w:r>
      <w:r w:rsidR="00CD39C4" w:rsidRPr="000160C5">
        <w:rPr>
          <w:rFonts w:cs="Times New Roman"/>
          <w:szCs w:val="28"/>
          <w:lang w:val="ru-RU"/>
        </w:rPr>
        <w:t xml:space="preserve"> состав преступления в сфере раскрытия информации на рынке ценных бумаг</w:t>
      </w:r>
      <w:r w:rsidRPr="000160C5">
        <w:rPr>
          <w:rFonts w:cs="Times New Roman"/>
          <w:szCs w:val="28"/>
          <w:lang w:val="ru-RU"/>
        </w:rPr>
        <w:t xml:space="preserve"> является единственным</w:t>
      </w:r>
      <w:r w:rsidR="00CD39C4" w:rsidRPr="000160C5">
        <w:rPr>
          <w:rFonts w:cs="Times New Roman"/>
          <w:szCs w:val="28"/>
          <w:lang w:val="ru-RU"/>
        </w:rPr>
        <w:t xml:space="preserve">. </w:t>
      </w:r>
      <w:r w:rsidRPr="000160C5">
        <w:rPr>
          <w:rFonts w:cs="Times New Roman"/>
          <w:szCs w:val="28"/>
          <w:lang w:val="ru-RU"/>
        </w:rPr>
        <w:t>Указанная норма</w:t>
      </w:r>
      <w:r w:rsidR="00CD39C4" w:rsidRPr="000160C5">
        <w:rPr>
          <w:rFonts w:cs="Times New Roman"/>
          <w:szCs w:val="28"/>
          <w:lang w:val="ru-RU"/>
        </w:rPr>
        <w:t xml:space="preserve"> появил</w:t>
      </w:r>
      <w:r w:rsidRPr="000160C5">
        <w:rPr>
          <w:rFonts w:cs="Times New Roman"/>
          <w:szCs w:val="28"/>
          <w:lang w:val="ru-RU"/>
        </w:rPr>
        <w:t>ась</w:t>
      </w:r>
      <w:r w:rsidR="00CD39C4" w:rsidRPr="000160C5">
        <w:rPr>
          <w:rFonts w:cs="Times New Roman"/>
          <w:szCs w:val="28"/>
          <w:lang w:val="ru-RU"/>
        </w:rPr>
        <w:t xml:space="preserve"> лишь в 2002 году в рамках концепции усиления уголовной ответственности за преступления на рынке ценных бумаг.</w:t>
      </w:r>
    </w:p>
    <w:p w:rsidR="007D3B16" w:rsidRPr="000160C5" w:rsidRDefault="007D3B16" w:rsidP="007D3B16">
      <w:pPr>
        <w:pStyle w:val="TNR14"/>
        <w:rPr>
          <w:rFonts w:cs="Times New Roman"/>
          <w:szCs w:val="28"/>
          <w:lang w:val="ru-RU"/>
        </w:rPr>
      </w:pPr>
      <w:r w:rsidRPr="000160C5">
        <w:rPr>
          <w:rFonts w:cs="Times New Roman"/>
          <w:szCs w:val="28"/>
          <w:lang w:val="ru-RU"/>
        </w:rPr>
        <w:t xml:space="preserve">Рассмотрим состав преступления, предусмотренный статьей 185.1 УК РФ. Субъектом уголовной ответственности </w:t>
      </w:r>
      <w:r w:rsidR="000370B6" w:rsidRPr="000160C5">
        <w:rPr>
          <w:rFonts w:cs="Times New Roman"/>
          <w:szCs w:val="28"/>
          <w:lang w:val="ru-RU"/>
        </w:rPr>
        <w:t xml:space="preserve">выступает должностное лицо организации, поскольку концепция уголовной ответственности в России подразумевает ответственность только физических лиц в отличие от </w:t>
      </w:r>
      <w:r w:rsidRPr="000160C5">
        <w:rPr>
          <w:rFonts w:cs="Times New Roman"/>
          <w:szCs w:val="28"/>
          <w:lang w:val="ru-RU"/>
        </w:rPr>
        <w:t xml:space="preserve"> законодательств</w:t>
      </w:r>
      <w:r w:rsidR="000370B6" w:rsidRPr="000160C5">
        <w:rPr>
          <w:rFonts w:cs="Times New Roman"/>
          <w:szCs w:val="28"/>
          <w:lang w:val="ru-RU"/>
        </w:rPr>
        <w:t>а</w:t>
      </w:r>
      <w:r w:rsidRPr="000160C5">
        <w:rPr>
          <w:rFonts w:cs="Times New Roman"/>
          <w:szCs w:val="28"/>
          <w:lang w:val="ru-RU"/>
        </w:rPr>
        <w:t xml:space="preserve"> США</w:t>
      </w:r>
      <w:r w:rsidR="000370B6" w:rsidRPr="000160C5">
        <w:rPr>
          <w:rFonts w:cs="Times New Roman"/>
          <w:szCs w:val="28"/>
          <w:lang w:val="ru-RU"/>
        </w:rPr>
        <w:t>, согласно которому</w:t>
      </w:r>
      <w:r w:rsidRPr="000160C5">
        <w:rPr>
          <w:rFonts w:cs="Times New Roman"/>
          <w:szCs w:val="28"/>
          <w:lang w:val="ru-RU"/>
        </w:rPr>
        <w:t xml:space="preserve"> </w:t>
      </w:r>
      <w:r w:rsidR="000370B6" w:rsidRPr="000160C5">
        <w:rPr>
          <w:rFonts w:cs="Times New Roman"/>
          <w:szCs w:val="28"/>
          <w:lang w:val="ru-RU"/>
        </w:rPr>
        <w:t xml:space="preserve">субъектами ответственности </w:t>
      </w:r>
      <w:r w:rsidRPr="000160C5">
        <w:rPr>
          <w:rFonts w:cs="Times New Roman"/>
          <w:szCs w:val="28"/>
          <w:lang w:val="ru-RU"/>
        </w:rPr>
        <w:t xml:space="preserve">могут выступать как сами эмитенты, так и их должностные лица. </w:t>
      </w:r>
    </w:p>
    <w:p w:rsidR="0096291D" w:rsidRPr="000160C5" w:rsidRDefault="00EC2639" w:rsidP="00F03BED">
      <w:pPr>
        <w:pStyle w:val="TNR14"/>
        <w:rPr>
          <w:rFonts w:cs="Times New Roman"/>
          <w:szCs w:val="28"/>
          <w:lang w:val="ru-RU"/>
        </w:rPr>
      </w:pPr>
      <w:r w:rsidRPr="000160C5">
        <w:rPr>
          <w:rFonts w:cs="Times New Roman"/>
          <w:szCs w:val="28"/>
          <w:lang w:val="ru-RU"/>
        </w:rPr>
        <w:t xml:space="preserve">Объективная сторона </w:t>
      </w:r>
      <w:r w:rsidR="006F33CC" w:rsidRPr="000160C5">
        <w:rPr>
          <w:rFonts w:cs="Times New Roman"/>
          <w:szCs w:val="28"/>
          <w:lang w:val="ru-RU"/>
        </w:rPr>
        <w:t xml:space="preserve">преступления </w:t>
      </w:r>
      <w:r w:rsidRPr="000160C5">
        <w:rPr>
          <w:rFonts w:cs="Times New Roman"/>
          <w:szCs w:val="28"/>
          <w:lang w:val="ru-RU"/>
        </w:rPr>
        <w:t>заключается в злостном уклонении от раскрыти</w:t>
      </w:r>
      <w:r w:rsidR="00233212" w:rsidRPr="000160C5">
        <w:rPr>
          <w:rFonts w:cs="Times New Roman"/>
          <w:szCs w:val="28"/>
          <w:lang w:val="ru-RU"/>
        </w:rPr>
        <w:t xml:space="preserve">я информации либо </w:t>
      </w:r>
      <w:r w:rsidR="006F33CC" w:rsidRPr="000160C5">
        <w:rPr>
          <w:rFonts w:cs="Times New Roman"/>
          <w:szCs w:val="28"/>
          <w:lang w:val="ru-RU"/>
        </w:rPr>
        <w:t xml:space="preserve">в </w:t>
      </w:r>
      <w:r w:rsidR="00233212" w:rsidRPr="000160C5">
        <w:rPr>
          <w:rFonts w:cs="Times New Roman"/>
          <w:szCs w:val="28"/>
          <w:lang w:val="ru-RU"/>
        </w:rPr>
        <w:t>предоставлении</w:t>
      </w:r>
      <w:r w:rsidRPr="000160C5">
        <w:rPr>
          <w:rFonts w:cs="Times New Roman"/>
          <w:szCs w:val="28"/>
          <w:lang w:val="ru-RU"/>
        </w:rPr>
        <w:t xml:space="preserve"> заведомо неполной или ложной информации при условии, что данные деяния повлекли крупный ущерб гражданам, государству или организациям.</w:t>
      </w:r>
      <w:r w:rsidR="006F33CC" w:rsidRPr="000160C5">
        <w:rPr>
          <w:rFonts w:cs="Times New Roman"/>
          <w:szCs w:val="28"/>
          <w:lang w:val="ru-RU"/>
        </w:rPr>
        <w:t xml:space="preserve"> К</w:t>
      </w:r>
      <w:r w:rsidRPr="000160C5">
        <w:rPr>
          <w:rFonts w:cs="Times New Roman"/>
          <w:szCs w:val="28"/>
          <w:lang w:val="ru-RU"/>
        </w:rPr>
        <w:t>рупный ущерб в контексте данной статьи подразумевает</w:t>
      </w:r>
      <w:r w:rsidR="00233212" w:rsidRPr="000160C5">
        <w:rPr>
          <w:rFonts w:cs="Times New Roman"/>
          <w:szCs w:val="28"/>
          <w:lang w:val="ru-RU"/>
        </w:rPr>
        <w:t xml:space="preserve"> ущерб в размере, превышающем 1 миллион рублей.</w:t>
      </w:r>
    </w:p>
    <w:p w:rsidR="0096291D" w:rsidRPr="000160C5" w:rsidRDefault="0096291D" w:rsidP="00F03BED">
      <w:pPr>
        <w:pStyle w:val="TNR14"/>
        <w:rPr>
          <w:rFonts w:cs="Times New Roman"/>
          <w:szCs w:val="28"/>
          <w:lang w:val="ru-RU"/>
        </w:rPr>
      </w:pPr>
      <w:r w:rsidRPr="000160C5">
        <w:rPr>
          <w:rFonts w:cs="Times New Roman"/>
          <w:szCs w:val="28"/>
          <w:lang w:val="ru-RU"/>
        </w:rPr>
        <w:t xml:space="preserve">Субъективная сторона подразумевает умысел, как это следует из формулировки объективной стороны (злостное </w:t>
      </w:r>
      <w:r w:rsidRPr="000160C5">
        <w:rPr>
          <w:rFonts w:cs="Times New Roman"/>
          <w:i/>
          <w:szCs w:val="28"/>
          <w:lang w:val="ru-RU"/>
        </w:rPr>
        <w:t>уклонение</w:t>
      </w:r>
      <w:r w:rsidRPr="000160C5">
        <w:rPr>
          <w:rFonts w:cs="Times New Roman"/>
          <w:szCs w:val="28"/>
          <w:lang w:val="ru-RU"/>
        </w:rPr>
        <w:t xml:space="preserve"> и предоставление </w:t>
      </w:r>
      <w:r w:rsidRPr="000160C5">
        <w:rPr>
          <w:rFonts w:cs="Times New Roman"/>
          <w:i/>
          <w:szCs w:val="28"/>
          <w:lang w:val="ru-RU"/>
        </w:rPr>
        <w:t>заведомо</w:t>
      </w:r>
      <w:r w:rsidRPr="000160C5">
        <w:rPr>
          <w:rFonts w:cs="Times New Roman"/>
          <w:szCs w:val="28"/>
          <w:lang w:val="ru-RU"/>
        </w:rPr>
        <w:t xml:space="preserve"> неполной и ложной информации).</w:t>
      </w:r>
    </w:p>
    <w:p w:rsidR="0096291D" w:rsidRPr="000160C5" w:rsidRDefault="0096291D" w:rsidP="00F03BED">
      <w:pPr>
        <w:pStyle w:val="TNR14"/>
        <w:rPr>
          <w:rFonts w:cs="Times New Roman"/>
          <w:szCs w:val="28"/>
          <w:lang w:val="ru-RU"/>
        </w:rPr>
      </w:pPr>
      <w:r w:rsidRPr="000160C5">
        <w:rPr>
          <w:rFonts w:cs="Times New Roman"/>
          <w:szCs w:val="28"/>
          <w:lang w:val="ru-RU"/>
        </w:rPr>
        <w:t xml:space="preserve">Предусмотренная санкция является альтернативной и включает в себя штраф до трехсот тысяч рублей или доход осужденного за период до двух лет, либо исправительные, либо обязательные работы. </w:t>
      </w:r>
      <w:proofErr w:type="gramStart"/>
      <w:r w:rsidRPr="000160C5">
        <w:rPr>
          <w:rFonts w:cs="Times New Roman"/>
          <w:szCs w:val="28"/>
          <w:lang w:val="ru-RU"/>
        </w:rPr>
        <w:t xml:space="preserve">Как следует из сопоставления указанной меры ответственности с предусмотренной в </w:t>
      </w:r>
      <w:r w:rsidRPr="000160C5">
        <w:rPr>
          <w:rFonts w:cs="Times New Roman"/>
          <w:szCs w:val="28"/>
          <w:lang w:val="ru-RU"/>
        </w:rPr>
        <w:lastRenderedPageBreak/>
        <w:t xml:space="preserve">законодательстве США санкцией, российское законодательство не усматривает очевидной общественной опасности в деянии, предусмотренном нововведенной статьей 185.1 УК РФ. </w:t>
      </w:r>
      <w:proofErr w:type="gramEnd"/>
    </w:p>
    <w:p w:rsidR="00FB599B" w:rsidRPr="000160C5" w:rsidRDefault="006F33CC" w:rsidP="00F03BED">
      <w:pPr>
        <w:pStyle w:val="TNR14"/>
        <w:rPr>
          <w:rFonts w:cs="Times New Roman"/>
          <w:szCs w:val="28"/>
          <w:lang w:val="ru-RU"/>
        </w:rPr>
      </w:pPr>
      <w:r w:rsidRPr="000160C5">
        <w:rPr>
          <w:rFonts w:cs="Times New Roman"/>
          <w:szCs w:val="28"/>
          <w:lang w:val="ru-RU"/>
        </w:rPr>
        <w:t>Подобный подход подтверждается  и правоприменительной практикой. И</w:t>
      </w:r>
      <w:r w:rsidR="0096291D" w:rsidRPr="000160C5">
        <w:rPr>
          <w:rFonts w:cs="Times New Roman"/>
          <w:szCs w:val="28"/>
          <w:lang w:val="ru-RU"/>
        </w:rPr>
        <w:t>сходя из статистики МВД РФ</w:t>
      </w:r>
      <w:r w:rsidR="00450830" w:rsidRPr="000160C5">
        <w:rPr>
          <w:rStyle w:val="a9"/>
          <w:rFonts w:cs="Times New Roman"/>
          <w:szCs w:val="28"/>
          <w:lang w:val="ru-RU"/>
        </w:rPr>
        <w:footnoteReference w:id="89"/>
      </w:r>
      <w:r w:rsidR="0096291D" w:rsidRPr="000160C5">
        <w:rPr>
          <w:rFonts w:cs="Times New Roman"/>
          <w:szCs w:val="28"/>
          <w:lang w:val="ru-RU"/>
        </w:rPr>
        <w:t>, за годы существования данной статьи, было зарегистрировано единственное преступление в 2009 году.</w:t>
      </w:r>
      <w:r w:rsidR="00FB599B" w:rsidRPr="000160C5">
        <w:rPr>
          <w:rFonts w:cs="Times New Roman"/>
          <w:szCs w:val="28"/>
          <w:lang w:val="ru-RU"/>
        </w:rPr>
        <w:t xml:space="preserve"> Из чего следует вывод, что указанная статья не работает в части ее правоприменения в отличие от рассмотренных норм в законодательстве США.</w:t>
      </w:r>
    </w:p>
    <w:p w:rsidR="00B24A6D" w:rsidRPr="000160C5" w:rsidRDefault="00B24A6D" w:rsidP="00F03BED">
      <w:pPr>
        <w:pStyle w:val="TNR14"/>
        <w:rPr>
          <w:rFonts w:cs="Times New Roman"/>
          <w:szCs w:val="28"/>
          <w:lang w:val="ru-RU"/>
        </w:rPr>
      </w:pPr>
      <w:r w:rsidRPr="000160C5">
        <w:rPr>
          <w:rFonts w:cs="Times New Roman"/>
          <w:szCs w:val="28"/>
          <w:lang w:val="ru-RU"/>
        </w:rPr>
        <w:t xml:space="preserve">Таким образом, можно сделать вывод о различном подходе в нормативном закреплении уголовной ответственности за нарушения в области раскрытия информации с точки зрения меры наказания, а также об абсолютно неработающей норме российского законодательства и, напротив, применимых </w:t>
      </w:r>
      <w:r w:rsidR="00F95800">
        <w:rPr>
          <w:rFonts w:cs="Times New Roman"/>
          <w:szCs w:val="28"/>
          <w:lang w:val="ru-RU"/>
        </w:rPr>
        <w:t>на</w:t>
      </w:r>
      <w:r w:rsidRPr="000160C5">
        <w:rPr>
          <w:rFonts w:cs="Times New Roman"/>
          <w:szCs w:val="28"/>
          <w:lang w:val="ru-RU"/>
        </w:rPr>
        <w:t xml:space="preserve"> практике нормах законодательства США.</w:t>
      </w:r>
    </w:p>
    <w:p w:rsidR="00B24A6D" w:rsidRPr="000160C5" w:rsidRDefault="00B24A6D" w:rsidP="00347813">
      <w:pPr>
        <w:pStyle w:val="2"/>
        <w:rPr>
          <w:rFonts w:cs="Times New Roman"/>
          <w:szCs w:val="28"/>
        </w:rPr>
      </w:pPr>
      <w:bookmarkStart w:id="22" w:name="_Toc356162062"/>
      <w:r w:rsidRPr="000160C5">
        <w:rPr>
          <w:rFonts w:cs="Times New Roman"/>
          <w:szCs w:val="28"/>
        </w:rPr>
        <w:t>§3. Гражданская ответственность за нарушение требований по раскрытию информации</w:t>
      </w:r>
      <w:bookmarkEnd w:id="22"/>
    </w:p>
    <w:p w:rsidR="00347813" w:rsidRPr="000160C5" w:rsidRDefault="00347813" w:rsidP="00347813">
      <w:pPr>
        <w:pStyle w:val="3"/>
        <w:rPr>
          <w:rFonts w:cs="Times New Roman"/>
          <w:szCs w:val="28"/>
        </w:rPr>
      </w:pPr>
      <w:bookmarkStart w:id="23" w:name="_Toc356162063"/>
      <w:r w:rsidRPr="000160C5">
        <w:rPr>
          <w:rFonts w:cs="Times New Roman"/>
          <w:szCs w:val="28"/>
        </w:rPr>
        <w:t>§3.1 Понятие гражданско-правовой ответственности</w:t>
      </w:r>
      <w:bookmarkEnd w:id="23"/>
    </w:p>
    <w:p w:rsidR="00750913" w:rsidRPr="000160C5" w:rsidRDefault="00750913" w:rsidP="00F03BED">
      <w:pPr>
        <w:pStyle w:val="TNR14"/>
        <w:rPr>
          <w:rFonts w:cs="Times New Roman"/>
          <w:szCs w:val="28"/>
          <w:lang w:val="ru-RU"/>
        </w:rPr>
      </w:pPr>
      <w:r w:rsidRPr="000160C5">
        <w:rPr>
          <w:rFonts w:cs="Times New Roman"/>
          <w:szCs w:val="28"/>
          <w:lang w:val="ru-RU"/>
        </w:rPr>
        <w:t xml:space="preserve">Кроме публичной ответственности, главным образом, </w:t>
      </w:r>
      <w:r w:rsidR="0007053D" w:rsidRPr="000160C5">
        <w:rPr>
          <w:rFonts w:cs="Times New Roman"/>
          <w:szCs w:val="28"/>
          <w:lang w:val="ru-RU"/>
        </w:rPr>
        <w:t>обладающей</w:t>
      </w:r>
      <w:r w:rsidRPr="000160C5">
        <w:rPr>
          <w:rFonts w:cs="Times New Roman"/>
          <w:szCs w:val="28"/>
          <w:lang w:val="ru-RU"/>
        </w:rPr>
        <w:t xml:space="preserve"> карательн</w:t>
      </w:r>
      <w:r w:rsidR="0007053D" w:rsidRPr="000160C5">
        <w:rPr>
          <w:rFonts w:cs="Times New Roman"/>
          <w:szCs w:val="28"/>
          <w:lang w:val="ru-RU"/>
        </w:rPr>
        <w:t>ой</w:t>
      </w:r>
      <w:r w:rsidRPr="000160C5">
        <w:rPr>
          <w:rFonts w:cs="Times New Roman"/>
          <w:szCs w:val="28"/>
          <w:lang w:val="ru-RU"/>
        </w:rPr>
        <w:t xml:space="preserve"> и превентивн</w:t>
      </w:r>
      <w:r w:rsidR="0007053D" w:rsidRPr="000160C5">
        <w:rPr>
          <w:rFonts w:cs="Times New Roman"/>
          <w:szCs w:val="28"/>
          <w:lang w:val="ru-RU"/>
        </w:rPr>
        <w:t>ой функцией</w:t>
      </w:r>
      <w:r w:rsidRPr="000160C5">
        <w:rPr>
          <w:rFonts w:cs="Times New Roman"/>
          <w:szCs w:val="28"/>
          <w:lang w:val="ru-RU"/>
        </w:rPr>
        <w:t xml:space="preserve">, правонарушитель </w:t>
      </w:r>
      <w:r w:rsidR="0007053D" w:rsidRPr="000160C5">
        <w:rPr>
          <w:rFonts w:cs="Times New Roman"/>
          <w:szCs w:val="28"/>
          <w:lang w:val="ru-RU"/>
        </w:rPr>
        <w:t xml:space="preserve">также </w:t>
      </w:r>
      <w:r w:rsidRPr="000160C5">
        <w:rPr>
          <w:rFonts w:cs="Times New Roman"/>
          <w:szCs w:val="28"/>
          <w:lang w:val="ru-RU"/>
        </w:rPr>
        <w:t>может быть привлечен к ответственности в частном порядке с целью восстанов</w:t>
      </w:r>
      <w:r w:rsidR="0007053D" w:rsidRPr="000160C5">
        <w:rPr>
          <w:rFonts w:cs="Times New Roman"/>
          <w:szCs w:val="28"/>
          <w:lang w:val="ru-RU"/>
        </w:rPr>
        <w:t>ления</w:t>
      </w:r>
      <w:r w:rsidRPr="000160C5">
        <w:rPr>
          <w:rFonts w:cs="Times New Roman"/>
          <w:szCs w:val="28"/>
          <w:lang w:val="ru-RU"/>
        </w:rPr>
        <w:t xml:space="preserve"> имущественно</w:t>
      </w:r>
      <w:r w:rsidR="0007053D" w:rsidRPr="000160C5">
        <w:rPr>
          <w:rFonts w:cs="Times New Roman"/>
          <w:szCs w:val="28"/>
          <w:lang w:val="ru-RU"/>
        </w:rPr>
        <w:t>го положения</w:t>
      </w:r>
      <w:r w:rsidRPr="000160C5">
        <w:rPr>
          <w:rFonts w:cs="Times New Roman"/>
          <w:szCs w:val="28"/>
          <w:lang w:val="ru-RU"/>
        </w:rPr>
        <w:t>, существовавше</w:t>
      </w:r>
      <w:r w:rsidR="0007053D" w:rsidRPr="000160C5">
        <w:rPr>
          <w:rFonts w:cs="Times New Roman"/>
          <w:szCs w:val="28"/>
          <w:lang w:val="ru-RU"/>
        </w:rPr>
        <w:t>го</w:t>
      </w:r>
      <w:r w:rsidRPr="000160C5">
        <w:rPr>
          <w:rFonts w:cs="Times New Roman"/>
          <w:szCs w:val="28"/>
          <w:lang w:val="ru-RU"/>
        </w:rPr>
        <w:t xml:space="preserve"> до правонарушения. Такой разновидностью является гражданско-правовая ответственность.</w:t>
      </w:r>
    </w:p>
    <w:p w:rsidR="00B24A6D" w:rsidRPr="000160C5" w:rsidRDefault="00750913" w:rsidP="00F03BED">
      <w:pPr>
        <w:pStyle w:val="TNR14"/>
        <w:rPr>
          <w:rFonts w:cs="Times New Roman"/>
          <w:szCs w:val="28"/>
          <w:lang w:val="ru-RU"/>
        </w:rPr>
      </w:pPr>
      <w:r w:rsidRPr="000160C5">
        <w:rPr>
          <w:rFonts w:cs="Times New Roman"/>
          <w:szCs w:val="28"/>
          <w:lang w:val="ru-RU"/>
        </w:rPr>
        <w:t>Суханов Е.А. определил</w:t>
      </w:r>
      <w:r w:rsidRPr="000160C5">
        <w:rPr>
          <w:rFonts w:cs="Times New Roman"/>
          <w:szCs w:val="28"/>
          <w:lang w:val="ru-RU"/>
        </w:rPr>
        <w:tab/>
        <w:t>гражданско-правовую ответственность в качестве одной из форм государственного принуждения, состоящей во взыскании судом с правонарушителя в пользу потерпевшего имущественных санкций, перелагающих на правонарушителя невыгодные имущественные последствия его поведения и направленных на восстановление нарушенной имущественной сферы потерпевшего</w:t>
      </w:r>
      <w:r w:rsidRPr="000160C5">
        <w:rPr>
          <w:rStyle w:val="a9"/>
          <w:rFonts w:cs="Times New Roman"/>
          <w:szCs w:val="28"/>
          <w:lang w:val="ru-RU"/>
        </w:rPr>
        <w:footnoteReference w:id="90"/>
      </w:r>
      <w:r w:rsidRPr="000160C5">
        <w:rPr>
          <w:rFonts w:cs="Times New Roman"/>
          <w:szCs w:val="28"/>
          <w:lang w:val="ru-RU"/>
        </w:rPr>
        <w:t>.</w:t>
      </w:r>
    </w:p>
    <w:p w:rsidR="00750913" w:rsidRPr="000160C5" w:rsidRDefault="00750913" w:rsidP="00750913">
      <w:pPr>
        <w:pStyle w:val="TNR14"/>
        <w:rPr>
          <w:rFonts w:cs="Times New Roman"/>
          <w:szCs w:val="28"/>
          <w:lang w:val="ru-RU"/>
        </w:rPr>
      </w:pPr>
      <w:r w:rsidRPr="000160C5">
        <w:rPr>
          <w:rFonts w:cs="Times New Roman"/>
          <w:szCs w:val="28"/>
          <w:lang w:val="ru-RU"/>
        </w:rPr>
        <w:lastRenderedPageBreak/>
        <w:t>Сергеев А.П. и Толстой Ю.К.</w:t>
      </w:r>
      <w:r w:rsidRPr="000160C5">
        <w:rPr>
          <w:rStyle w:val="a9"/>
          <w:rFonts w:cs="Times New Roman"/>
          <w:szCs w:val="28"/>
          <w:lang w:val="ru-RU"/>
        </w:rPr>
        <w:footnoteReference w:id="91"/>
      </w:r>
      <w:r w:rsidRPr="000160C5">
        <w:rPr>
          <w:rFonts w:cs="Times New Roman"/>
          <w:szCs w:val="28"/>
          <w:lang w:val="ru-RU"/>
        </w:rPr>
        <w:t xml:space="preserve"> определили ответственность несколько шире: применение к правонарушителю таких мер, в результате которых у правонарушителя изымается и передается потерпевшему имущество, которое правонарушитель не утратил бы, если бы не совершил правонарушение.</w:t>
      </w:r>
    </w:p>
    <w:p w:rsidR="00750913" w:rsidRPr="000160C5" w:rsidRDefault="00750913" w:rsidP="00750913">
      <w:pPr>
        <w:pStyle w:val="TNR14"/>
        <w:rPr>
          <w:rFonts w:cs="Times New Roman"/>
          <w:szCs w:val="28"/>
          <w:lang w:val="ru-RU"/>
        </w:rPr>
      </w:pPr>
      <w:r w:rsidRPr="000160C5">
        <w:rPr>
          <w:rFonts w:cs="Times New Roman"/>
          <w:szCs w:val="28"/>
          <w:lang w:val="ru-RU"/>
        </w:rPr>
        <w:t>Однако обе точки зрения имеют единую концепцию</w:t>
      </w:r>
      <w:r w:rsidR="0007053D" w:rsidRPr="000160C5">
        <w:rPr>
          <w:rFonts w:cs="Times New Roman"/>
          <w:szCs w:val="28"/>
          <w:lang w:val="ru-RU"/>
        </w:rPr>
        <w:t xml:space="preserve"> ответственности</w:t>
      </w:r>
      <w:r w:rsidRPr="000160C5">
        <w:rPr>
          <w:rFonts w:cs="Times New Roman"/>
          <w:szCs w:val="28"/>
          <w:lang w:val="ru-RU"/>
        </w:rPr>
        <w:t xml:space="preserve">: неблагоприятные последствия для нарушителя, заключающиеся в умалении его имущественной массы для целей восстановления нарушенного имущественного положения потерпевшего. </w:t>
      </w:r>
    </w:p>
    <w:p w:rsidR="00750913" w:rsidRPr="000160C5" w:rsidRDefault="00750913" w:rsidP="00F03BED">
      <w:pPr>
        <w:pStyle w:val="TNR14"/>
        <w:rPr>
          <w:rFonts w:cs="Times New Roman"/>
          <w:szCs w:val="28"/>
          <w:lang w:val="ru-RU"/>
        </w:rPr>
      </w:pPr>
      <w:r w:rsidRPr="000160C5">
        <w:rPr>
          <w:rFonts w:cs="Times New Roman"/>
          <w:szCs w:val="28"/>
          <w:lang w:val="ru-RU"/>
        </w:rPr>
        <w:t>Таким образом, одной из важнейших функций применения мер гражданско-правовой ответственности является компенсация имущественных потерь  потерпевшего (компенсаторно-восстановительная функция) за счет правонарушителя.</w:t>
      </w:r>
    </w:p>
    <w:p w:rsidR="00750913" w:rsidRPr="000160C5" w:rsidRDefault="00750913" w:rsidP="00F03BED">
      <w:pPr>
        <w:pStyle w:val="TNR14"/>
        <w:rPr>
          <w:rFonts w:cs="Times New Roman"/>
          <w:szCs w:val="28"/>
          <w:lang w:val="ru-RU"/>
        </w:rPr>
      </w:pPr>
      <w:r w:rsidRPr="000160C5">
        <w:rPr>
          <w:rFonts w:cs="Times New Roman"/>
          <w:szCs w:val="28"/>
          <w:lang w:val="ru-RU"/>
        </w:rPr>
        <w:t xml:space="preserve">Общей мерой гражданско-правовой ответственности является возмещение убытков, применяемое при любых нарушениях обязательств, если </w:t>
      </w:r>
      <w:r w:rsidR="0007053D" w:rsidRPr="000160C5">
        <w:rPr>
          <w:rFonts w:cs="Times New Roman"/>
          <w:szCs w:val="28"/>
          <w:lang w:val="ru-RU"/>
        </w:rPr>
        <w:t xml:space="preserve">иное не предусмотрено </w:t>
      </w:r>
      <w:r w:rsidRPr="000160C5">
        <w:rPr>
          <w:rFonts w:cs="Times New Roman"/>
          <w:szCs w:val="28"/>
          <w:lang w:val="ru-RU"/>
        </w:rPr>
        <w:t xml:space="preserve">законом или договором, в отличие от иных форм ответственности, применяемых лишь в случаях, прямо </w:t>
      </w:r>
      <w:r w:rsidR="0007053D" w:rsidRPr="000160C5">
        <w:rPr>
          <w:rFonts w:cs="Times New Roman"/>
          <w:szCs w:val="28"/>
          <w:lang w:val="ru-RU"/>
        </w:rPr>
        <w:t>указанных</w:t>
      </w:r>
      <w:r w:rsidRPr="000160C5">
        <w:rPr>
          <w:rFonts w:cs="Times New Roman"/>
          <w:szCs w:val="28"/>
          <w:lang w:val="ru-RU"/>
        </w:rPr>
        <w:t xml:space="preserve"> </w:t>
      </w:r>
      <w:r w:rsidR="0007053D" w:rsidRPr="000160C5">
        <w:rPr>
          <w:rFonts w:cs="Times New Roman"/>
          <w:szCs w:val="28"/>
          <w:lang w:val="ru-RU"/>
        </w:rPr>
        <w:t xml:space="preserve">в </w:t>
      </w:r>
      <w:r w:rsidRPr="000160C5">
        <w:rPr>
          <w:rFonts w:cs="Times New Roman"/>
          <w:szCs w:val="28"/>
          <w:lang w:val="ru-RU"/>
        </w:rPr>
        <w:t>закон</w:t>
      </w:r>
      <w:r w:rsidR="0007053D" w:rsidRPr="000160C5">
        <w:rPr>
          <w:rFonts w:cs="Times New Roman"/>
          <w:szCs w:val="28"/>
          <w:lang w:val="ru-RU"/>
        </w:rPr>
        <w:t>е</w:t>
      </w:r>
      <w:r w:rsidRPr="000160C5">
        <w:rPr>
          <w:rFonts w:cs="Times New Roman"/>
          <w:szCs w:val="28"/>
          <w:lang w:val="ru-RU"/>
        </w:rPr>
        <w:t xml:space="preserve"> или договор</w:t>
      </w:r>
      <w:r w:rsidR="0007053D" w:rsidRPr="000160C5">
        <w:rPr>
          <w:rFonts w:cs="Times New Roman"/>
          <w:szCs w:val="28"/>
          <w:lang w:val="ru-RU"/>
        </w:rPr>
        <w:t>е</w:t>
      </w:r>
      <w:r w:rsidRPr="000160C5">
        <w:rPr>
          <w:rFonts w:cs="Times New Roman"/>
          <w:szCs w:val="28"/>
          <w:lang w:val="ru-RU"/>
        </w:rPr>
        <w:t xml:space="preserve"> для конкретного правонарушения (неустойка, потеря задатка, проценты за пользование чужими денежными средствами).</w:t>
      </w:r>
    </w:p>
    <w:p w:rsidR="00027D80" w:rsidRPr="000160C5" w:rsidRDefault="0007053D" w:rsidP="00F03BED">
      <w:pPr>
        <w:pStyle w:val="TNR14"/>
        <w:rPr>
          <w:rFonts w:cs="Times New Roman"/>
          <w:szCs w:val="28"/>
          <w:lang w:val="ru-RU"/>
        </w:rPr>
      </w:pPr>
      <w:proofErr w:type="gramStart"/>
      <w:r w:rsidRPr="000160C5">
        <w:rPr>
          <w:rFonts w:cs="Times New Roman"/>
          <w:szCs w:val="28"/>
          <w:lang w:val="ru-RU"/>
        </w:rPr>
        <w:t>Как показал</w:t>
      </w:r>
      <w:r w:rsidR="00027D80" w:rsidRPr="000160C5">
        <w:rPr>
          <w:rFonts w:cs="Times New Roman"/>
          <w:szCs w:val="28"/>
          <w:lang w:val="ru-RU"/>
        </w:rPr>
        <w:t xml:space="preserve"> анализ нормативной базы, регулирующей раскрытие информации на рынке ценных бумаг, гражданско-право</w:t>
      </w:r>
      <w:r w:rsidRPr="000160C5">
        <w:rPr>
          <w:rFonts w:cs="Times New Roman"/>
          <w:szCs w:val="28"/>
          <w:lang w:val="ru-RU"/>
        </w:rPr>
        <w:t>вая</w:t>
      </w:r>
      <w:r w:rsidR="00027D80" w:rsidRPr="000160C5">
        <w:rPr>
          <w:rFonts w:cs="Times New Roman"/>
          <w:szCs w:val="28"/>
          <w:lang w:val="ru-RU"/>
        </w:rPr>
        <w:t xml:space="preserve"> ответственност</w:t>
      </w:r>
      <w:r w:rsidRPr="000160C5">
        <w:rPr>
          <w:rFonts w:cs="Times New Roman"/>
          <w:szCs w:val="28"/>
          <w:lang w:val="ru-RU"/>
        </w:rPr>
        <w:t>ь</w:t>
      </w:r>
      <w:r w:rsidR="00027D80" w:rsidRPr="000160C5">
        <w:rPr>
          <w:rFonts w:cs="Times New Roman"/>
          <w:szCs w:val="28"/>
          <w:lang w:val="ru-RU"/>
        </w:rPr>
        <w:t xml:space="preserve"> эмитента и иных лиц</w:t>
      </w:r>
      <w:r w:rsidRPr="000160C5">
        <w:rPr>
          <w:rFonts w:cs="Times New Roman"/>
          <w:szCs w:val="28"/>
          <w:lang w:val="ru-RU"/>
        </w:rPr>
        <w:t xml:space="preserve"> нормативно закреплена в Законе о РЦБ, </w:t>
      </w:r>
      <w:r w:rsidR="00027D80" w:rsidRPr="000160C5">
        <w:rPr>
          <w:rFonts w:cs="Times New Roman"/>
          <w:szCs w:val="28"/>
          <w:lang w:val="ru-RU"/>
        </w:rPr>
        <w:t xml:space="preserve">часть 11 статьи 30 </w:t>
      </w:r>
      <w:r w:rsidRPr="000160C5">
        <w:rPr>
          <w:rFonts w:cs="Times New Roman"/>
          <w:szCs w:val="28"/>
          <w:lang w:val="ru-RU"/>
        </w:rPr>
        <w:t xml:space="preserve">которого </w:t>
      </w:r>
      <w:r w:rsidR="00027D80" w:rsidRPr="000160C5">
        <w:rPr>
          <w:rFonts w:cs="Times New Roman"/>
          <w:szCs w:val="28"/>
          <w:lang w:val="ru-RU"/>
        </w:rPr>
        <w:t>предусматривает ответственность эмитента, а также субсидиарную ответственность лиц, подписавших ежеквартальный отчет (руководитель и главный бухгалтер организации, а также иные лица, дополнительно подписавшие отчет, как-то: аудитор, оценщик, консультант), аудиторской организации, составившей аудиторское</w:t>
      </w:r>
      <w:proofErr w:type="gramEnd"/>
      <w:r w:rsidR="00027D80" w:rsidRPr="000160C5">
        <w:rPr>
          <w:rFonts w:cs="Times New Roman"/>
          <w:szCs w:val="28"/>
          <w:lang w:val="ru-RU"/>
        </w:rPr>
        <w:t xml:space="preserve"> </w:t>
      </w:r>
      <w:proofErr w:type="gramStart"/>
      <w:r w:rsidR="00027D80" w:rsidRPr="000160C5">
        <w:rPr>
          <w:rFonts w:cs="Times New Roman"/>
          <w:szCs w:val="28"/>
          <w:lang w:val="ru-RU"/>
        </w:rPr>
        <w:t xml:space="preserve">заключение в отношении бухгалтерской отчетности, которая раскрывается в ежеквартальном отчете, </w:t>
      </w:r>
      <w:r w:rsidR="002A22E4" w:rsidRPr="000160C5">
        <w:rPr>
          <w:rFonts w:cs="Times New Roman"/>
          <w:szCs w:val="28"/>
          <w:lang w:val="ru-RU"/>
        </w:rPr>
        <w:t xml:space="preserve"> а если в соответствии с учредительными </w:t>
      </w:r>
      <w:r w:rsidR="002A22E4" w:rsidRPr="000160C5">
        <w:rPr>
          <w:rFonts w:cs="Times New Roman"/>
          <w:szCs w:val="28"/>
          <w:lang w:val="ru-RU"/>
        </w:rPr>
        <w:lastRenderedPageBreak/>
        <w:t>документами (уставом) эмитента ежеквартальный отчет подлежит утверждению уполномоченным органом эмитента, также лиц, утвердивших ежеквартальный отчет (проголосовавших за его утверждение), за убытки, причиненные эмитентом инвестору и (или) владельцу ценных бумаг вследствие содержащейся в указанном отчете недостоверной, неполной и (или) вводящей в заблуждение информации, подтвержденной ими.</w:t>
      </w:r>
      <w:proofErr w:type="gramEnd"/>
    </w:p>
    <w:p w:rsidR="00F22CD0" w:rsidRPr="000160C5" w:rsidRDefault="00651553" w:rsidP="00F03BED">
      <w:pPr>
        <w:pStyle w:val="TNR14"/>
        <w:rPr>
          <w:rFonts w:cs="Times New Roman"/>
          <w:szCs w:val="28"/>
          <w:lang w:val="ru-RU"/>
        </w:rPr>
      </w:pPr>
      <w:r w:rsidRPr="000160C5">
        <w:rPr>
          <w:rFonts w:cs="Times New Roman"/>
          <w:szCs w:val="28"/>
          <w:lang w:val="ru-RU"/>
        </w:rPr>
        <w:t>Законодательство США также предусматривает возможность взыскать убытки с широкого круга лиц. Нормативные основание предусмотрены как в Законе о ценных бумагах 1933 года</w:t>
      </w:r>
      <w:r w:rsidR="00F22CD0" w:rsidRPr="000160C5">
        <w:rPr>
          <w:rFonts w:cs="Times New Roman"/>
          <w:szCs w:val="28"/>
          <w:lang w:val="ru-RU"/>
        </w:rPr>
        <w:t>, так и в Законе о торговле ценными</w:t>
      </w:r>
      <w:r w:rsidRPr="000160C5">
        <w:rPr>
          <w:rFonts w:cs="Times New Roman"/>
          <w:szCs w:val="28"/>
          <w:lang w:val="ru-RU"/>
        </w:rPr>
        <w:t xml:space="preserve"> </w:t>
      </w:r>
      <w:r w:rsidR="00F22CD0" w:rsidRPr="000160C5">
        <w:rPr>
          <w:rFonts w:cs="Times New Roman"/>
          <w:szCs w:val="28"/>
          <w:lang w:val="ru-RU"/>
        </w:rPr>
        <w:t>бумагами 1934 года.</w:t>
      </w:r>
    </w:p>
    <w:p w:rsidR="00486364" w:rsidRPr="000160C5" w:rsidRDefault="00F22CD0" w:rsidP="00F03BED">
      <w:pPr>
        <w:pStyle w:val="TNR14"/>
        <w:rPr>
          <w:rFonts w:cs="Times New Roman"/>
          <w:szCs w:val="28"/>
          <w:lang w:val="ru-RU"/>
        </w:rPr>
      </w:pPr>
      <w:r w:rsidRPr="000160C5">
        <w:rPr>
          <w:rFonts w:cs="Times New Roman"/>
          <w:szCs w:val="28"/>
          <w:lang w:val="ru-RU"/>
        </w:rPr>
        <w:t>Статья 11 и 12(а)2 Закона о ценных бумагах предусматривает возможность взыскать убытки с эмитента, если при регистрации выпуска ценных бумаг эмитентом был</w:t>
      </w:r>
      <w:r w:rsidR="00E05320" w:rsidRPr="000160C5">
        <w:rPr>
          <w:rFonts w:cs="Times New Roman"/>
          <w:szCs w:val="28"/>
          <w:lang w:val="ru-RU"/>
        </w:rPr>
        <w:t>о</w:t>
      </w:r>
      <w:r w:rsidRPr="000160C5">
        <w:rPr>
          <w:rFonts w:cs="Times New Roman"/>
          <w:szCs w:val="28"/>
          <w:lang w:val="ru-RU"/>
        </w:rPr>
        <w:t xml:space="preserve"> допущен</w:t>
      </w:r>
      <w:r w:rsidR="00E05320" w:rsidRPr="000160C5">
        <w:rPr>
          <w:rFonts w:cs="Times New Roman"/>
          <w:szCs w:val="28"/>
          <w:lang w:val="ru-RU"/>
        </w:rPr>
        <w:t>о</w:t>
      </w:r>
      <w:r w:rsidRPr="000160C5">
        <w:rPr>
          <w:rFonts w:cs="Times New Roman"/>
          <w:szCs w:val="28"/>
          <w:lang w:val="ru-RU"/>
        </w:rPr>
        <w:t xml:space="preserve"> существенное искажение представленных сведений или информация была раскрыта в неполном объеме. </w:t>
      </w:r>
    </w:p>
    <w:p w:rsidR="00486364" w:rsidRPr="000160C5" w:rsidRDefault="00486364" w:rsidP="00F03BED">
      <w:pPr>
        <w:pStyle w:val="TNR14"/>
        <w:rPr>
          <w:rFonts w:cs="Times New Roman"/>
          <w:szCs w:val="28"/>
          <w:lang w:val="ru-RU"/>
        </w:rPr>
      </w:pPr>
      <w:r w:rsidRPr="000160C5">
        <w:rPr>
          <w:rFonts w:cs="Times New Roman"/>
          <w:szCs w:val="28"/>
          <w:lang w:val="ru-RU"/>
        </w:rPr>
        <w:t>Положения пункта 10</w:t>
      </w:r>
      <w:r w:rsidRPr="000160C5">
        <w:rPr>
          <w:rFonts w:cs="Times New Roman"/>
          <w:szCs w:val="28"/>
        </w:rPr>
        <w:t>b</w:t>
      </w:r>
      <w:r w:rsidRPr="000160C5">
        <w:rPr>
          <w:rFonts w:cs="Times New Roman"/>
          <w:szCs w:val="28"/>
          <w:lang w:val="ru-RU"/>
        </w:rPr>
        <w:t xml:space="preserve"> Закона о торговле ценными бумагами 1934 года, так называемого «</w:t>
      </w:r>
      <w:proofErr w:type="spellStart"/>
      <w:r w:rsidRPr="000160C5">
        <w:rPr>
          <w:rFonts w:cs="Times New Roman"/>
          <w:szCs w:val="28"/>
          <w:lang w:val="ru-RU"/>
        </w:rPr>
        <w:t>антимошеннического</w:t>
      </w:r>
      <w:proofErr w:type="spellEnd"/>
      <w:r w:rsidRPr="000160C5">
        <w:rPr>
          <w:rFonts w:cs="Times New Roman"/>
          <w:szCs w:val="28"/>
          <w:lang w:val="ru-RU"/>
        </w:rPr>
        <w:t xml:space="preserve"> правила 10</w:t>
      </w:r>
      <w:r w:rsidRPr="000160C5">
        <w:rPr>
          <w:rFonts w:cs="Times New Roman"/>
          <w:szCs w:val="28"/>
        </w:rPr>
        <w:t>b</w:t>
      </w:r>
      <w:r w:rsidRPr="000160C5">
        <w:rPr>
          <w:rFonts w:cs="Times New Roman"/>
          <w:szCs w:val="28"/>
          <w:lang w:val="ru-RU"/>
        </w:rPr>
        <w:t>» (</w:t>
      </w:r>
      <w:r w:rsidRPr="000160C5">
        <w:rPr>
          <w:rFonts w:cs="Times New Roman"/>
          <w:szCs w:val="28"/>
        </w:rPr>
        <w:t>antifraud</w:t>
      </w:r>
      <w:r w:rsidRPr="000160C5">
        <w:rPr>
          <w:rFonts w:cs="Times New Roman"/>
          <w:szCs w:val="28"/>
          <w:lang w:val="ru-RU"/>
        </w:rPr>
        <w:t xml:space="preserve"> </w:t>
      </w:r>
      <w:r w:rsidRPr="000160C5">
        <w:rPr>
          <w:rFonts w:cs="Times New Roman"/>
          <w:szCs w:val="28"/>
        </w:rPr>
        <w:t>provision</w:t>
      </w:r>
      <w:r w:rsidRPr="000160C5">
        <w:rPr>
          <w:rFonts w:cs="Times New Roman"/>
          <w:szCs w:val="28"/>
          <w:lang w:val="ru-RU"/>
        </w:rPr>
        <w:t>)</w:t>
      </w:r>
      <w:r w:rsidR="00E05320" w:rsidRPr="000160C5">
        <w:rPr>
          <w:rFonts w:cs="Times New Roman"/>
          <w:szCs w:val="28"/>
          <w:lang w:val="ru-RU"/>
        </w:rPr>
        <w:t>, а</w:t>
      </w:r>
      <w:r w:rsidRPr="000160C5">
        <w:rPr>
          <w:rFonts w:cs="Times New Roman"/>
          <w:szCs w:val="28"/>
          <w:lang w:val="ru-RU"/>
        </w:rPr>
        <w:t xml:space="preserve"> также статьи 18 указанного закона предусматривают возможность взыскать убытки с эмитента в случае существенного искажения или опущения важной информации в периодических отчетах эмитента.</w:t>
      </w:r>
      <w:r w:rsidR="00F22CD0" w:rsidRPr="000160C5">
        <w:rPr>
          <w:rFonts w:cs="Times New Roman"/>
          <w:szCs w:val="28"/>
          <w:lang w:val="ru-RU"/>
        </w:rPr>
        <w:t xml:space="preserve">  </w:t>
      </w:r>
    </w:p>
    <w:p w:rsidR="00651553" w:rsidRPr="000160C5" w:rsidRDefault="00486364" w:rsidP="00F03BED">
      <w:pPr>
        <w:pStyle w:val="TNR14"/>
        <w:rPr>
          <w:rFonts w:cs="Times New Roman"/>
          <w:szCs w:val="28"/>
          <w:lang w:val="ru-RU"/>
        </w:rPr>
      </w:pPr>
      <w:r w:rsidRPr="000160C5">
        <w:rPr>
          <w:rFonts w:cs="Times New Roman"/>
          <w:szCs w:val="28"/>
          <w:lang w:val="ru-RU"/>
        </w:rPr>
        <w:t>Стоит отметить, что американское законодательство оперирует термином «лицо»</w:t>
      </w:r>
      <w:r w:rsidR="00651553" w:rsidRPr="000160C5">
        <w:rPr>
          <w:rFonts w:cs="Times New Roman"/>
          <w:szCs w:val="28"/>
          <w:lang w:val="ru-RU"/>
        </w:rPr>
        <w:t xml:space="preserve"> </w:t>
      </w:r>
      <w:r w:rsidRPr="000160C5">
        <w:rPr>
          <w:rFonts w:cs="Times New Roman"/>
          <w:szCs w:val="28"/>
          <w:lang w:val="ru-RU"/>
        </w:rPr>
        <w:t>в отношении ответчика, под которым подразумеваются как эмитент, так и его должностные лица.</w:t>
      </w:r>
    </w:p>
    <w:p w:rsidR="008A5804" w:rsidRPr="000160C5" w:rsidRDefault="008A5804" w:rsidP="008A5804">
      <w:pPr>
        <w:pStyle w:val="TNR14"/>
        <w:rPr>
          <w:rFonts w:cs="Times New Roman"/>
          <w:szCs w:val="28"/>
          <w:lang w:val="ru-RU"/>
        </w:rPr>
      </w:pPr>
      <w:r w:rsidRPr="000160C5">
        <w:rPr>
          <w:rFonts w:cs="Times New Roman"/>
          <w:szCs w:val="28"/>
          <w:lang w:val="ru-RU"/>
        </w:rPr>
        <w:t>Таким образом, в России и США нормативно закреплена ответственность эмитента и иных лиц в форме возмещения убытков, причиненных инвестору</w:t>
      </w:r>
      <w:r w:rsidR="00E05320" w:rsidRPr="000160C5">
        <w:rPr>
          <w:rFonts w:cs="Times New Roman"/>
          <w:szCs w:val="28"/>
          <w:lang w:val="ru-RU"/>
        </w:rPr>
        <w:t>,</w:t>
      </w:r>
      <w:r w:rsidRPr="000160C5">
        <w:rPr>
          <w:rFonts w:cs="Times New Roman"/>
          <w:szCs w:val="28"/>
          <w:lang w:val="ru-RU"/>
        </w:rPr>
        <w:t xml:space="preserve"> при наличии определенных условий, определяю</w:t>
      </w:r>
      <w:r w:rsidR="00F95800">
        <w:rPr>
          <w:rFonts w:cs="Times New Roman"/>
          <w:szCs w:val="28"/>
          <w:lang w:val="ru-RU"/>
        </w:rPr>
        <w:t>щих</w:t>
      </w:r>
      <w:r w:rsidRPr="000160C5">
        <w:rPr>
          <w:rFonts w:cs="Times New Roman"/>
          <w:szCs w:val="28"/>
          <w:lang w:val="ru-RU"/>
        </w:rPr>
        <w:t xml:space="preserve"> состав гражданского правонарушения, который будет рассмотрен далее.</w:t>
      </w:r>
    </w:p>
    <w:p w:rsidR="00347813" w:rsidRPr="000160C5" w:rsidRDefault="00347813" w:rsidP="00347813">
      <w:pPr>
        <w:pStyle w:val="3"/>
        <w:rPr>
          <w:rFonts w:cs="Times New Roman"/>
          <w:szCs w:val="28"/>
        </w:rPr>
      </w:pPr>
      <w:bookmarkStart w:id="24" w:name="_Toc356162064"/>
      <w:r w:rsidRPr="000160C5">
        <w:rPr>
          <w:rFonts w:cs="Times New Roman"/>
          <w:szCs w:val="28"/>
        </w:rPr>
        <w:t>§3.2 Состав</w:t>
      </w:r>
      <w:r w:rsidR="008A5804" w:rsidRPr="000160C5">
        <w:rPr>
          <w:rFonts w:cs="Times New Roman"/>
          <w:szCs w:val="28"/>
        </w:rPr>
        <w:t xml:space="preserve"> гражданского</w:t>
      </w:r>
      <w:r w:rsidRPr="000160C5">
        <w:rPr>
          <w:rFonts w:cs="Times New Roman"/>
          <w:szCs w:val="28"/>
        </w:rPr>
        <w:t xml:space="preserve"> правонарушения</w:t>
      </w:r>
      <w:bookmarkEnd w:id="24"/>
    </w:p>
    <w:p w:rsidR="008A5804" w:rsidRPr="000160C5" w:rsidRDefault="008A5804" w:rsidP="008A5804">
      <w:pPr>
        <w:pStyle w:val="TNR14"/>
        <w:rPr>
          <w:rFonts w:cs="Times New Roman"/>
          <w:szCs w:val="28"/>
          <w:lang w:val="ru-RU"/>
        </w:rPr>
      </w:pPr>
      <w:r w:rsidRPr="000160C5">
        <w:rPr>
          <w:rFonts w:cs="Times New Roman"/>
          <w:szCs w:val="28"/>
          <w:lang w:val="ru-RU"/>
        </w:rPr>
        <w:t xml:space="preserve">Необходимым условием для наступления </w:t>
      </w:r>
      <w:r w:rsidR="00E05320" w:rsidRPr="000160C5">
        <w:rPr>
          <w:rFonts w:cs="Times New Roman"/>
          <w:szCs w:val="28"/>
          <w:lang w:val="ru-RU"/>
        </w:rPr>
        <w:t xml:space="preserve">гражданско-правовой </w:t>
      </w:r>
      <w:r w:rsidRPr="000160C5">
        <w:rPr>
          <w:rFonts w:cs="Times New Roman"/>
          <w:szCs w:val="28"/>
          <w:lang w:val="ru-RU"/>
        </w:rPr>
        <w:t xml:space="preserve">ответственности является основание, то есть совершение правонарушения, </w:t>
      </w:r>
      <w:r w:rsidRPr="000160C5">
        <w:rPr>
          <w:rFonts w:cs="Times New Roman"/>
          <w:szCs w:val="28"/>
          <w:lang w:val="ru-RU"/>
        </w:rPr>
        <w:lastRenderedPageBreak/>
        <w:t xml:space="preserve">предусмотренного законом или договором. К числу общих условий гражданско-правовой ответственности (состав гражданского правонарушения), отсутствие </w:t>
      </w:r>
      <w:r w:rsidR="00833F10" w:rsidRPr="000160C5">
        <w:rPr>
          <w:rFonts w:cs="Times New Roman"/>
          <w:szCs w:val="28"/>
          <w:lang w:val="ru-RU"/>
        </w:rPr>
        <w:t xml:space="preserve">хотя бы одного из </w:t>
      </w:r>
      <w:r w:rsidRPr="000160C5">
        <w:rPr>
          <w:rFonts w:cs="Times New Roman"/>
          <w:szCs w:val="28"/>
          <w:lang w:val="ru-RU"/>
        </w:rPr>
        <w:t>которых исключает применение ответственности, относятся следующие элементы:</w:t>
      </w:r>
    </w:p>
    <w:p w:rsidR="008A5804" w:rsidRPr="000160C5" w:rsidRDefault="00833F10" w:rsidP="008A5804">
      <w:pPr>
        <w:pStyle w:val="TNR14"/>
        <w:rPr>
          <w:rFonts w:cs="Times New Roman"/>
          <w:szCs w:val="28"/>
          <w:lang w:val="ru-RU"/>
        </w:rPr>
      </w:pPr>
      <w:r w:rsidRPr="000160C5">
        <w:rPr>
          <w:rFonts w:cs="Times New Roman"/>
          <w:szCs w:val="28"/>
          <w:lang w:val="ru-RU"/>
        </w:rPr>
        <w:t xml:space="preserve">1) </w:t>
      </w:r>
      <w:r w:rsidR="008A5804" w:rsidRPr="000160C5">
        <w:rPr>
          <w:rFonts w:cs="Times New Roman"/>
          <w:szCs w:val="28"/>
          <w:lang w:val="ru-RU"/>
        </w:rPr>
        <w:t>противоправный характер деяния;</w:t>
      </w:r>
    </w:p>
    <w:p w:rsidR="008A5804" w:rsidRPr="000160C5" w:rsidRDefault="00833F10" w:rsidP="008A5804">
      <w:pPr>
        <w:pStyle w:val="TNR14"/>
        <w:rPr>
          <w:rFonts w:cs="Times New Roman"/>
          <w:szCs w:val="28"/>
          <w:lang w:val="ru-RU"/>
        </w:rPr>
      </w:pPr>
      <w:r w:rsidRPr="000160C5">
        <w:rPr>
          <w:rFonts w:cs="Times New Roman"/>
          <w:szCs w:val="28"/>
          <w:lang w:val="ru-RU"/>
        </w:rPr>
        <w:t>2) н</w:t>
      </w:r>
      <w:r w:rsidR="008A5804" w:rsidRPr="000160C5">
        <w:rPr>
          <w:rFonts w:cs="Times New Roman"/>
          <w:szCs w:val="28"/>
          <w:lang w:val="ru-RU"/>
        </w:rPr>
        <w:t>аличие у потерпевшего убытков;</w:t>
      </w:r>
    </w:p>
    <w:p w:rsidR="008A5804" w:rsidRPr="000160C5" w:rsidRDefault="00833F10" w:rsidP="008A5804">
      <w:pPr>
        <w:pStyle w:val="TNR14"/>
        <w:rPr>
          <w:rFonts w:cs="Times New Roman"/>
          <w:szCs w:val="28"/>
          <w:lang w:val="ru-RU"/>
        </w:rPr>
      </w:pPr>
      <w:r w:rsidRPr="000160C5">
        <w:rPr>
          <w:rFonts w:cs="Times New Roman"/>
          <w:szCs w:val="28"/>
          <w:lang w:val="ru-RU"/>
        </w:rPr>
        <w:t xml:space="preserve">3) </w:t>
      </w:r>
      <w:r w:rsidR="008A5804" w:rsidRPr="000160C5">
        <w:rPr>
          <w:rFonts w:cs="Times New Roman"/>
          <w:szCs w:val="28"/>
          <w:lang w:val="ru-RU"/>
        </w:rPr>
        <w:t>причинная связь между противоправным деянием нарушителя и причиненными убытками;</w:t>
      </w:r>
    </w:p>
    <w:p w:rsidR="008A5804" w:rsidRPr="000160C5" w:rsidRDefault="00833F10" w:rsidP="008A5804">
      <w:pPr>
        <w:pStyle w:val="TNR14"/>
        <w:rPr>
          <w:rFonts w:cs="Times New Roman"/>
          <w:szCs w:val="28"/>
          <w:lang w:val="ru-RU"/>
        </w:rPr>
      </w:pPr>
      <w:r w:rsidRPr="000160C5">
        <w:rPr>
          <w:rFonts w:cs="Times New Roman"/>
          <w:szCs w:val="28"/>
          <w:lang w:val="ru-RU"/>
        </w:rPr>
        <w:t xml:space="preserve">4) </w:t>
      </w:r>
      <w:r w:rsidR="008A5804" w:rsidRPr="000160C5">
        <w:rPr>
          <w:rFonts w:cs="Times New Roman"/>
          <w:szCs w:val="28"/>
          <w:lang w:val="ru-RU"/>
        </w:rPr>
        <w:t>вина нарушителя.</w:t>
      </w:r>
    </w:p>
    <w:p w:rsidR="008A5804" w:rsidRPr="000160C5" w:rsidRDefault="00833F10" w:rsidP="008A5804">
      <w:pPr>
        <w:pStyle w:val="TNR14"/>
        <w:rPr>
          <w:rFonts w:cs="Times New Roman"/>
          <w:szCs w:val="28"/>
          <w:lang w:val="ru-RU"/>
        </w:rPr>
      </w:pPr>
      <w:r w:rsidRPr="000160C5">
        <w:rPr>
          <w:rFonts w:cs="Times New Roman"/>
          <w:szCs w:val="28"/>
          <w:lang w:val="ru-RU"/>
        </w:rPr>
        <w:t xml:space="preserve">Противоправность деяния выражается в нарушении императивных норм, устанавливающих </w:t>
      </w:r>
      <w:r w:rsidR="008A5804" w:rsidRPr="000160C5">
        <w:rPr>
          <w:rFonts w:cs="Times New Roman"/>
          <w:szCs w:val="28"/>
          <w:lang w:val="ru-RU"/>
        </w:rPr>
        <w:t>требовани</w:t>
      </w:r>
      <w:r w:rsidRPr="000160C5">
        <w:rPr>
          <w:rFonts w:cs="Times New Roman"/>
          <w:szCs w:val="28"/>
          <w:lang w:val="ru-RU"/>
        </w:rPr>
        <w:t>я</w:t>
      </w:r>
      <w:r w:rsidR="008A5804" w:rsidRPr="000160C5">
        <w:rPr>
          <w:rFonts w:cs="Times New Roman"/>
          <w:szCs w:val="28"/>
          <w:lang w:val="ru-RU"/>
        </w:rPr>
        <w:t xml:space="preserve"> по раскрытию информации</w:t>
      </w:r>
      <w:r w:rsidRPr="000160C5">
        <w:rPr>
          <w:rFonts w:cs="Times New Roman"/>
          <w:szCs w:val="28"/>
          <w:lang w:val="ru-RU"/>
        </w:rPr>
        <w:t xml:space="preserve">, содержащихся в Законе о РЦБ. </w:t>
      </w:r>
    </w:p>
    <w:p w:rsidR="00833F10" w:rsidRPr="000160C5" w:rsidRDefault="00833F10" w:rsidP="008A5804">
      <w:pPr>
        <w:pStyle w:val="TNR14"/>
        <w:rPr>
          <w:rFonts w:cs="Times New Roman"/>
          <w:szCs w:val="28"/>
          <w:lang w:val="ru-RU"/>
        </w:rPr>
      </w:pPr>
      <w:r w:rsidRPr="000160C5">
        <w:rPr>
          <w:rFonts w:cs="Times New Roman"/>
          <w:szCs w:val="28"/>
          <w:lang w:val="ru-RU"/>
        </w:rPr>
        <w:t xml:space="preserve">Наличие убытков также является необходимым элементом состава гражданского правонарушения. </w:t>
      </w:r>
      <w:proofErr w:type="gramStart"/>
      <w:r w:rsidRPr="000160C5">
        <w:rPr>
          <w:rFonts w:cs="Times New Roman"/>
          <w:szCs w:val="28"/>
          <w:lang w:val="ru-RU"/>
        </w:rPr>
        <w:t>Согласно статье 15 ГК РФ</w:t>
      </w:r>
      <w:r w:rsidR="00E05320" w:rsidRPr="000160C5">
        <w:rPr>
          <w:rStyle w:val="a9"/>
          <w:rFonts w:cs="Times New Roman"/>
          <w:szCs w:val="28"/>
          <w:lang w:val="ru-RU"/>
        </w:rPr>
        <w:footnoteReference w:id="92"/>
      </w:r>
      <w:r w:rsidRPr="000160C5">
        <w:rPr>
          <w:rFonts w:cs="Times New Roman"/>
          <w:szCs w:val="28"/>
          <w:lang w:val="ru-RU"/>
        </w:rPr>
        <w:t>,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CF7CAF" w:rsidRPr="000160C5" w:rsidRDefault="009D4733" w:rsidP="008A5804">
      <w:pPr>
        <w:pStyle w:val="TNR14"/>
        <w:rPr>
          <w:rFonts w:cs="Times New Roman"/>
          <w:szCs w:val="28"/>
          <w:lang w:val="ru-RU"/>
        </w:rPr>
      </w:pPr>
      <w:r w:rsidRPr="000160C5">
        <w:rPr>
          <w:rFonts w:cs="Times New Roman"/>
          <w:szCs w:val="28"/>
          <w:lang w:val="ru-RU"/>
        </w:rPr>
        <w:t xml:space="preserve">Таким образом, убытки состоят из реального ущерба, то есть уже состоявшегося уменьшения имущества потерпевшего, и упущенной выгоды, то есть несостоявшегося увеличения имущества. </w:t>
      </w:r>
      <w:r w:rsidR="00CF7CAF" w:rsidRPr="000160C5">
        <w:rPr>
          <w:rFonts w:cs="Times New Roman"/>
          <w:szCs w:val="28"/>
          <w:lang w:val="ru-RU"/>
        </w:rPr>
        <w:t xml:space="preserve">Можно ли посчитать размер убытков, которые </w:t>
      </w:r>
      <w:r w:rsidR="00F95800">
        <w:rPr>
          <w:rFonts w:cs="Times New Roman"/>
          <w:szCs w:val="28"/>
          <w:lang w:val="ru-RU"/>
        </w:rPr>
        <w:t>терпят</w:t>
      </w:r>
      <w:r w:rsidR="00CF7CAF" w:rsidRPr="000160C5">
        <w:rPr>
          <w:rFonts w:cs="Times New Roman"/>
          <w:szCs w:val="28"/>
          <w:lang w:val="ru-RU"/>
        </w:rPr>
        <w:t xml:space="preserve"> инвесторы при </w:t>
      </w:r>
      <w:r w:rsidR="00833F10" w:rsidRPr="000160C5">
        <w:rPr>
          <w:rFonts w:cs="Times New Roman"/>
          <w:szCs w:val="28"/>
          <w:lang w:val="ru-RU"/>
        </w:rPr>
        <w:t>нарушении эмитентом публичной обязанности по раскрытию информации</w:t>
      </w:r>
      <w:r w:rsidR="00CF7CAF" w:rsidRPr="000160C5">
        <w:rPr>
          <w:rFonts w:cs="Times New Roman"/>
          <w:szCs w:val="28"/>
          <w:lang w:val="ru-RU"/>
        </w:rPr>
        <w:t>?</w:t>
      </w:r>
      <w:r w:rsidR="00833F10" w:rsidRPr="000160C5">
        <w:rPr>
          <w:rFonts w:cs="Times New Roman"/>
          <w:szCs w:val="28"/>
          <w:lang w:val="ru-RU"/>
        </w:rPr>
        <w:t xml:space="preserve"> </w:t>
      </w:r>
      <w:r w:rsidR="00BF1B30" w:rsidRPr="000160C5">
        <w:rPr>
          <w:rFonts w:cs="Times New Roman"/>
          <w:szCs w:val="28"/>
          <w:lang w:val="ru-RU"/>
        </w:rPr>
        <w:t xml:space="preserve">Согласно Постановлению Пленума необходимость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w:t>
      </w:r>
      <w:r w:rsidR="00BF1B30" w:rsidRPr="000160C5">
        <w:rPr>
          <w:rFonts w:cs="Times New Roman"/>
          <w:szCs w:val="28"/>
          <w:lang w:val="ru-RU"/>
        </w:rPr>
        <w:lastRenderedPageBreak/>
        <w:t>недостатков товаров, работ, услуг</w:t>
      </w:r>
      <w:r w:rsidR="00CD1B72" w:rsidRPr="000160C5">
        <w:rPr>
          <w:rStyle w:val="a9"/>
          <w:rFonts w:cs="Times New Roman"/>
          <w:szCs w:val="28"/>
          <w:lang w:val="ru-RU"/>
        </w:rPr>
        <w:footnoteReference w:id="93"/>
      </w:r>
      <w:r w:rsidR="00BF1B30" w:rsidRPr="000160C5">
        <w:rPr>
          <w:rFonts w:cs="Times New Roman"/>
          <w:szCs w:val="28"/>
          <w:lang w:val="ru-RU"/>
        </w:rPr>
        <w:t xml:space="preserve">. </w:t>
      </w:r>
      <w:r w:rsidR="001407DE" w:rsidRPr="000160C5">
        <w:rPr>
          <w:rFonts w:cs="Times New Roman"/>
          <w:szCs w:val="28"/>
          <w:lang w:val="ru-RU"/>
        </w:rPr>
        <w:t>Презюмируем</w:t>
      </w:r>
      <w:r w:rsidR="00CF7CAF" w:rsidRPr="000160C5">
        <w:rPr>
          <w:rFonts w:cs="Times New Roman"/>
          <w:szCs w:val="28"/>
          <w:lang w:val="ru-RU"/>
        </w:rPr>
        <w:t xml:space="preserve">, что размер убытков можно вычислить и обосновать данный расчет соответствующей калькуляцией. </w:t>
      </w:r>
    </w:p>
    <w:p w:rsidR="001C0947" w:rsidRPr="000160C5" w:rsidRDefault="001407DE" w:rsidP="008A5804">
      <w:pPr>
        <w:pStyle w:val="TNR14"/>
        <w:rPr>
          <w:rFonts w:cs="Times New Roman"/>
          <w:szCs w:val="28"/>
          <w:lang w:val="ru-RU"/>
        </w:rPr>
      </w:pPr>
      <w:r w:rsidRPr="000160C5">
        <w:rPr>
          <w:rFonts w:cs="Times New Roman"/>
          <w:szCs w:val="28"/>
          <w:lang w:val="ru-RU"/>
        </w:rPr>
        <w:t xml:space="preserve">Третьим и, пожалуй, самым важным элементом состава правонарушения является причинно-следственная связь между совершенным </w:t>
      </w:r>
      <w:r w:rsidR="00766165" w:rsidRPr="000160C5">
        <w:rPr>
          <w:rFonts w:cs="Times New Roman"/>
          <w:szCs w:val="28"/>
          <w:lang w:val="ru-RU"/>
        </w:rPr>
        <w:t xml:space="preserve">противоправным </w:t>
      </w:r>
      <w:r w:rsidRPr="000160C5">
        <w:rPr>
          <w:rFonts w:cs="Times New Roman"/>
          <w:szCs w:val="28"/>
          <w:lang w:val="ru-RU"/>
        </w:rPr>
        <w:t xml:space="preserve">деянием и причиненными убытками. </w:t>
      </w:r>
      <w:r w:rsidR="001C0947" w:rsidRPr="000160C5">
        <w:rPr>
          <w:rFonts w:cs="Times New Roman"/>
          <w:szCs w:val="28"/>
          <w:lang w:val="ru-RU"/>
        </w:rPr>
        <w:t xml:space="preserve">Причинная связь всегда объективна - это реально существующая взаимосвязь явлений, а не субъективное представление о ней. Поэтому она должна быть подтверждена реально, а не основываться лишь на предположениях или догадках. </w:t>
      </w:r>
    </w:p>
    <w:p w:rsidR="007C7B3A" w:rsidRPr="000160C5" w:rsidRDefault="001C0947" w:rsidP="007C7B3A">
      <w:pPr>
        <w:pStyle w:val="TNR14"/>
        <w:rPr>
          <w:rFonts w:cs="Times New Roman"/>
          <w:szCs w:val="28"/>
          <w:lang w:val="ru-RU"/>
        </w:rPr>
      </w:pPr>
      <w:r w:rsidRPr="000160C5">
        <w:rPr>
          <w:rFonts w:cs="Times New Roman"/>
          <w:szCs w:val="28"/>
          <w:lang w:val="ru-RU"/>
        </w:rPr>
        <w:t>Сам факт нарушения эмитентом нормативной обязанности по раскрытию информации, как-то: нарушение порядка и сроков, раскрытие информации не в полном объеме, опубликование недостоверной или вводящей в заблуждение информации – не является единственной причиной возможных убытков, понесенных инвестором. Иными словами, информация, раскрываемая эмит</w:t>
      </w:r>
      <w:r w:rsidR="007C7B3A" w:rsidRPr="000160C5">
        <w:rPr>
          <w:rFonts w:cs="Times New Roman"/>
          <w:szCs w:val="28"/>
          <w:lang w:val="ru-RU"/>
        </w:rPr>
        <w:t xml:space="preserve">ентом, не является единственным и решающим фактором для принятия инвестором решений. Таким образом, говорить о причинно-следственной связи между совершенным деянием и понесенными убытками нецелесообразно. </w:t>
      </w:r>
    </w:p>
    <w:p w:rsidR="00A2437B" w:rsidRPr="000160C5" w:rsidRDefault="00A2437B" w:rsidP="007C7B3A">
      <w:pPr>
        <w:pStyle w:val="TNR14"/>
        <w:rPr>
          <w:rFonts w:cs="Times New Roman"/>
          <w:szCs w:val="28"/>
          <w:lang w:val="ru-RU"/>
        </w:rPr>
      </w:pPr>
      <w:r w:rsidRPr="000160C5">
        <w:rPr>
          <w:rFonts w:cs="Times New Roman"/>
          <w:szCs w:val="28"/>
          <w:lang w:val="ru-RU"/>
        </w:rPr>
        <w:t>Сделанные выводы подтверждаются практически: в информационно-правовой системе «Консультант Плюс» не было найдено ни одного судебного решения по вопросу взыскания убытков с эмитента или иных лиц в связи с нарушением требований по раскрытию информации.</w:t>
      </w:r>
    </w:p>
    <w:p w:rsidR="00D94EC0" w:rsidRPr="000160C5" w:rsidRDefault="00D94EC0" w:rsidP="007C7B3A">
      <w:pPr>
        <w:pStyle w:val="TNR14"/>
        <w:rPr>
          <w:rFonts w:cs="Times New Roman"/>
          <w:szCs w:val="28"/>
          <w:lang w:val="ru-RU"/>
        </w:rPr>
      </w:pPr>
      <w:r w:rsidRPr="000160C5">
        <w:rPr>
          <w:rFonts w:cs="Times New Roman"/>
          <w:szCs w:val="28"/>
          <w:lang w:val="ru-RU"/>
        </w:rPr>
        <w:t xml:space="preserve">При анализе нормативной базы США и соответствующих научных статей были установлены следующие элементы, которые необходимо доказать истцу. </w:t>
      </w:r>
    </w:p>
    <w:p w:rsidR="00D94EC0" w:rsidRPr="000160C5" w:rsidRDefault="004F1F21" w:rsidP="007C7B3A">
      <w:pPr>
        <w:pStyle w:val="TNR14"/>
        <w:rPr>
          <w:rFonts w:cs="Times New Roman"/>
          <w:szCs w:val="28"/>
          <w:lang w:val="ru-RU"/>
        </w:rPr>
      </w:pPr>
      <w:r w:rsidRPr="000160C5">
        <w:rPr>
          <w:rFonts w:cs="Times New Roman"/>
          <w:szCs w:val="28"/>
          <w:lang w:val="ru-RU"/>
        </w:rPr>
        <w:t>Для подачи иска по статье 10</w:t>
      </w:r>
      <w:r w:rsidRPr="000160C5">
        <w:rPr>
          <w:rFonts w:cs="Times New Roman"/>
          <w:szCs w:val="28"/>
        </w:rPr>
        <w:t>b</w:t>
      </w:r>
      <w:r w:rsidRPr="000160C5">
        <w:rPr>
          <w:rFonts w:cs="Times New Roman"/>
          <w:szCs w:val="28"/>
          <w:lang w:val="ru-RU"/>
        </w:rPr>
        <w:t>, в</w:t>
      </w:r>
      <w:r w:rsidR="00D94EC0" w:rsidRPr="000160C5">
        <w:rPr>
          <w:rFonts w:cs="Times New Roman"/>
          <w:szCs w:val="28"/>
          <w:lang w:val="ru-RU"/>
        </w:rPr>
        <w:t>о-первых, истец должен доказать, что действия эмитента были осознанными (</w:t>
      </w:r>
      <w:r w:rsidR="00766165" w:rsidRPr="000160C5">
        <w:rPr>
          <w:rFonts w:cs="Times New Roman"/>
          <w:i/>
          <w:szCs w:val="28"/>
          <w:lang w:val="ru-RU"/>
        </w:rPr>
        <w:t>“</w:t>
      </w:r>
      <w:proofErr w:type="spellStart"/>
      <w:r w:rsidR="00766165" w:rsidRPr="000160C5">
        <w:rPr>
          <w:rFonts w:cs="Times New Roman"/>
          <w:i/>
          <w:szCs w:val="28"/>
        </w:rPr>
        <w:t>scienter</w:t>
      </w:r>
      <w:proofErr w:type="spellEnd"/>
      <w:r w:rsidR="00766165" w:rsidRPr="000160C5">
        <w:rPr>
          <w:rFonts w:cs="Times New Roman"/>
          <w:i/>
          <w:szCs w:val="28"/>
          <w:lang w:val="ru-RU"/>
        </w:rPr>
        <w:t>”</w:t>
      </w:r>
      <w:r w:rsidR="00766165" w:rsidRPr="000160C5">
        <w:rPr>
          <w:rFonts w:cs="Times New Roman"/>
          <w:szCs w:val="28"/>
          <w:lang w:val="ru-RU"/>
        </w:rPr>
        <w:t xml:space="preserve"> - </w:t>
      </w:r>
      <w:r w:rsidR="00D94EC0" w:rsidRPr="000160C5">
        <w:rPr>
          <w:rFonts w:cs="Times New Roman"/>
          <w:szCs w:val="28"/>
          <w:lang w:val="ru-RU"/>
        </w:rPr>
        <w:t xml:space="preserve">вмененная </w:t>
      </w:r>
      <w:proofErr w:type="spellStart"/>
      <w:r w:rsidR="00D94EC0" w:rsidRPr="000160C5">
        <w:rPr>
          <w:rFonts w:cs="Times New Roman"/>
          <w:szCs w:val="28"/>
          <w:lang w:val="ru-RU"/>
        </w:rPr>
        <w:t>заведомость</w:t>
      </w:r>
      <w:proofErr w:type="spellEnd"/>
      <w:r w:rsidR="00D94EC0" w:rsidRPr="000160C5">
        <w:rPr>
          <w:rFonts w:cs="Times New Roman"/>
          <w:szCs w:val="28"/>
          <w:lang w:val="ru-RU"/>
        </w:rPr>
        <w:t xml:space="preserve">), и в таком случае даже неосторожное поведение будет рассматриваться в </w:t>
      </w:r>
      <w:r w:rsidR="00D94EC0" w:rsidRPr="000160C5">
        <w:rPr>
          <w:rFonts w:cs="Times New Roman"/>
          <w:szCs w:val="28"/>
          <w:lang w:val="ru-RU"/>
        </w:rPr>
        <w:lastRenderedPageBreak/>
        <w:t xml:space="preserve">качестве осознанного. Во-вторых, истцу необходимо доказать, что при покупке или продаже ценных бумаг он полагался на недостоверную/вводящую в заблуждение информацию, содержащуюся в </w:t>
      </w:r>
      <w:r w:rsidRPr="000160C5">
        <w:rPr>
          <w:rFonts w:cs="Times New Roman"/>
          <w:szCs w:val="28"/>
          <w:lang w:val="ru-RU"/>
        </w:rPr>
        <w:t>опубликованном</w:t>
      </w:r>
      <w:r w:rsidR="00D94EC0" w:rsidRPr="000160C5">
        <w:rPr>
          <w:rFonts w:cs="Times New Roman"/>
          <w:szCs w:val="28"/>
          <w:lang w:val="ru-RU"/>
        </w:rPr>
        <w:t xml:space="preserve"> отчете. Для облегчения бремени доказывания суды </w:t>
      </w:r>
      <w:r w:rsidRPr="000160C5">
        <w:rPr>
          <w:rFonts w:cs="Times New Roman"/>
          <w:szCs w:val="28"/>
          <w:lang w:val="ru-RU"/>
        </w:rPr>
        <w:t>выработали</w:t>
      </w:r>
      <w:r w:rsidR="00D94EC0" w:rsidRPr="000160C5">
        <w:rPr>
          <w:rFonts w:cs="Times New Roman"/>
          <w:szCs w:val="28"/>
          <w:lang w:val="ru-RU"/>
        </w:rPr>
        <w:t xml:space="preserve"> презумпци</w:t>
      </w:r>
      <w:r w:rsidRPr="000160C5">
        <w:rPr>
          <w:rFonts w:cs="Times New Roman"/>
          <w:szCs w:val="28"/>
          <w:lang w:val="ru-RU"/>
        </w:rPr>
        <w:t>ю</w:t>
      </w:r>
      <w:r w:rsidR="00D94EC0" w:rsidRPr="000160C5">
        <w:rPr>
          <w:rFonts w:cs="Times New Roman"/>
          <w:szCs w:val="28"/>
          <w:lang w:val="ru-RU"/>
        </w:rPr>
        <w:t xml:space="preserve"> недостоверной информации на рынке ценных бумаг (</w:t>
      </w:r>
      <w:r w:rsidR="00D94EC0" w:rsidRPr="000160C5">
        <w:rPr>
          <w:rFonts w:cs="Times New Roman"/>
          <w:szCs w:val="28"/>
        </w:rPr>
        <w:t>fraud</w:t>
      </w:r>
      <w:r w:rsidR="00D94EC0" w:rsidRPr="000160C5">
        <w:rPr>
          <w:rFonts w:cs="Times New Roman"/>
          <w:szCs w:val="28"/>
          <w:lang w:val="ru-RU"/>
        </w:rPr>
        <w:t>-</w:t>
      </w:r>
      <w:r w:rsidR="00D94EC0" w:rsidRPr="000160C5">
        <w:rPr>
          <w:rFonts w:cs="Times New Roman"/>
          <w:szCs w:val="28"/>
        </w:rPr>
        <w:t>on</w:t>
      </w:r>
      <w:r w:rsidR="00D94EC0" w:rsidRPr="000160C5">
        <w:rPr>
          <w:rFonts w:cs="Times New Roman"/>
          <w:szCs w:val="28"/>
          <w:lang w:val="ru-RU"/>
        </w:rPr>
        <w:t>-</w:t>
      </w:r>
      <w:r w:rsidR="00D94EC0" w:rsidRPr="000160C5">
        <w:rPr>
          <w:rFonts w:cs="Times New Roman"/>
          <w:szCs w:val="28"/>
        </w:rPr>
        <w:t>the</w:t>
      </w:r>
      <w:r w:rsidR="00D94EC0" w:rsidRPr="000160C5">
        <w:rPr>
          <w:rFonts w:cs="Times New Roman"/>
          <w:szCs w:val="28"/>
          <w:lang w:val="ru-RU"/>
        </w:rPr>
        <w:t>-</w:t>
      </w:r>
      <w:r w:rsidR="00D94EC0" w:rsidRPr="000160C5">
        <w:rPr>
          <w:rFonts w:cs="Times New Roman"/>
          <w:szCs w:val="28"/>
        </w:rPr>
        <w:t>market</w:t>
      </w:r>
      <w:r w:rsidR="00D94EC0" w:rsidRPr="000160C5">
        <w:rPr>
          <w:rFonts w:cs="Times New Roman"/>
          <w:szCs w:val="28"/>
          <w:lang w:val="ru-RU"/>
        </w:rPr>
        <w:t xml:space="preserve"> </w:t>
      </w:r>
      <w:r w:rsidR="00D94EC0" w:rsidRPr="000160C5">
        <w:rPr>
          <w:rFonts w:cs="Times New Roman"/>
          <w:szCs w:val="28"/>
        </w:rPr>
        <w:t>presumption</w:t>
      </w:r>
      <w:r w:rsidR="00D94EC0" w:rsidRPr="000160C5">
        <w:rPr>
          <w:rFonts w:cs="Times New Roman"/>
          <w:szCs w:val="28"/>
          <w:lang w:val="ru-RU"/>
        </w:rPr>
        <w:t xml:space="preserve">), сводящейся к постулату, что если недостоверный/вводящий в заблуждение отчет </w:t>
      </w:r>
      <w:r w:rsidRPr="000160C5">
        <w:rPr>
          <w:rFonts w:cs="Times New Roman"/>
          <w:szCs w:val="28"/>
          <w:lang w:val="ru-RU"/>
        </w:rPr>
        <w:t>повлиял</w:t>
      </w:r>
      <w:r w:rsidR="00D94EC0" w:rsidRPr="000160C5">
        <w:rPr>
          <w:rFonts w:cs="Times New Roman"/>
          <w:szCs w:val="28"/>
          <w:lang w:val="ru-RU"/>
        </w:rPr>
        <w:t xml:space="preserve"> на рыночн</w:t>
      </w:r>
      <w:r w:rsidRPr="000160C5">
        <w:rPr>
          <w:rFonts w:cs="Times New Roman"/>
          <w:szCs w:val="28"/>
          <w:lang w:val="ru-RU"/>
        </w:rPr>
        <w:t>ую</w:t>
      </w:r>
      <w:r w:rsidR="00D94EC0" w:rsidRPr="000160C5">
        <w:rPr>
          <w:rFonts w:cs="Times New Roman"/>
          <w:szCs w:val="28"/>
          <w:lang w:val="ru-RU"/>
        </w:rPr>
        <w:t xml:space="preserve"> цен</w:t>
      </w:r>
      <w:r w:rsidRPr="000160C5">
        <w:rPr>
          <w:rFonts w:cs="Times New Roman"/>
          <w:szCs w:val="28"/>
          <w:lang w:val="ru-RU"/>
        </w:rPr>
        <w:t>у</w:t>
      </w:r>
      <w:r w:rsidR="00D94EC0" w:rsidRPr="000160C5">
        <w:rPr>
          <w:rFonts w:cs="Times New Roman"/>
          <w:szCs w:val="28"/>
          <w:lang w:val="ru-RU"/>
        </w:rPr>
        <w:t xml:space="preserve"> ценных бумаг, то факт полагания инвесторов на данный отчет предполагается. Таким образом, истцу необходимо лишь доказать, что рынок в целом полагался на недостоверный отчет, а не только данный истец в индивидуальном порядке</w:t>
      </w:r>
      <w:r w:rsidR="00D94EC0" w:rsidRPr="000160C5">
        <w:rPr>
          <w:rStyle w:val="a9"/>
          <w:rFonts w:cs="Times New Roman"/>
          <w:szCs w:val="28"/>
          <w:lang w:val="ru-RU"/>
        </w:rPr>
        <w:footnoteReference w:id="94"/>
      </w:r>
      <w:r w:rsidR="00D94EC0" w:rsidRPr="000160C5">
        <w:rPr>
          <w:rFonts w:cs="Times New Roman"/>
          <w:szCs w:val="28"/>
          <w:lang w:val="ru-RU"/>
        </w:rPr>
        <w:t>.</w:t>
      </w:r>
    </w:p>
    <w:p w:rsidR="004F1F21" w:rsidRPr="000160C5" w:rsidRDefault="001C4424" w:rsidP="007C7B3A">
      <w:pPr>
        <w:pStyle w:val="TNR14"/>
        <w:rPr>
          <w:rFonts w:cs="Times New Roman"/>
          <w:szCs w:val="28"/>
          <w:lang w:val="ru-RU"/>
        </w:rPr>
      </w:pPr>
      <w:r>
        <w:rPr>
          <w:rFonts w:cs="Times New Roman"/>
          <w:szCs w:val="28"/>
          <w:lang w:val="ru-RU"/>
        </w:rPr>
        <w:t>Кроме того,</w:t>
      </w:r>
      <w:r w:rsidR="004F1F21" w:rsidRPr="000160C5">
        <w:rPr>
          <w:rFonts w:cs="Times New Roman"/>
          <w:szCs w:val="28"/>
          <w:lang w:val="ru-RU"/>
        </w:rPr>
        <w:t xml:space="preserve"> для квалификации действий эмитента по раскрытию неполной или недостоверной/вводящей в заблуждение информации по статье 10b, такие действия должны отвечать критерию существенности нарушения. </w:t>
      </w:r>
      <w:r w:rsidR="003B5D72" w:rsidRPr="000160C5">
        <w:rPr>
          <w:rFonts w:cs="Times New Roman"/>
          <w:szCs w:val="28"/>
          <w:lang w:val="ru-RU"/>
        </w:rPr>
        <w:t>Понятие с</w:t>
      </w:r>
      <w:r w:rsidR="004F1F21" w:rsidRPr="000160C5">
        <w:rPr>
          <w:rFonts w:cs="Times New Roman"/>
          <w:szCs w:val="28"/>
          <w:lang w:val="ru-RU"/>
        </w:rPr>
        <w:t>ущественн</w:t>
      </w:r>
      <w:r w:rsidR="003B5D72" w:rsidRPr="000160C5">
        <w:rPr>
          <w:rFonts w:cs="Times New Roman"/>
          <w:szCs w:val="28"/>
          <w:lang w:val="ru-RU"/>
        </w:rPr>
        <w:t>ости</w:t>
      </w:r>
      <w:r w:rsidR="004F1F21" w:rsidRPr="000160C5">
        <w:rPr>
          <w:rFonts w:cs="Times New Roman"/>
          <w:szCs w:val="28"/>
          <w:lang w:val="ru-RU"/>
        </w:rPr>
        <w:t xml:space="preserve"> информаци</w:t>
      </w:r>
      <w:r w:rsidR="003B5D72" w:rsidRPr="000160C5">
        <w:rPr>
          <w:rFonts w:cs="Times New Roman"/>
          <w:szCs w:val="28"/>
          <w:lang w:val="ru-RU"/>
        </w:rPr>
        <w:t>и</w:t>
      </w:r>
      <w:r w:rsidR="004F1F21" w:rsidRPr="000160C5">
        <w:rPr>
          <w:rFonts w:cs="Times New Roman"/>
          <w:szCs w:val="28"/>
          <w:lang w:val="ru-RU"/>
        </w:rPr>
        <w:t xml:space="preserve"> в данном контексте был</w:t>
      </w:r>
      <w:r w:rsidR="003B5D72" w:rsidRPr="000160C5">
        <w:rPr>
          <w:rFonts w:cs="Times New Roman"/>
          <w:szCs w:val="28"/>
          <w:lang w:val="ru-RU"/>
        </w:rPr>
        <w:t>о</w:t>
      </w:r>
      <w:r w:rsidR="004F1F21" w:rsidRPr="000160C5">
        <w:rPr>
          <w:rFonts w:cs="Times New Roman"/>
          <w:szCs w:val="28"/>
          <w:lang w:val="ru-RU"/>
        </w:rPr>
        <w:t xml:space="preserve"> определен</w:t>
      </w:r>
      <w:r w:rsidR="003B5D72" w:rsidRPr="000160C5">
        <w:rPr>
          <w:rFonts w:cs="Times New Roman"/>
          <w:szCs w:val="28"/>
          <w:lang w:val="ru-RU"/>
        </w:rPr>
        <w:t>о</w:t>
      </w:r>
      <w:r w:rsidR="004F1F21" w:rsidRPr="000160C5">
        <w:rPr>
          <w:rFonts w:cs="Times New Roman"/>
          <w:szCs w:val="28"/>
          <w:lang w:val="ru-RU"/>
        </w:rPr>
        <w:t xml:space="preserve"> Верховным судом США как категория информации, принимаемая во внимание рациональным инвестором при принятии решений</w:t>
      </w:r>
      <w:r w:rsidR="004F1F21" w:rsidRPr="000160C5">
        <w:rPr>
          <w:rStyle w:val="a9"/>
          <w:rFonts w:cs="Times New Roman"/>
          <w:szCs w:val="28"/>
          <w:lang w:val="ru-RU"/>
        </w:rPr>
        <w:footnoteReference w:id="95"/>
      </w:r>
      <w:r w:rsidR="004F1F21" w:rsidRPr="000160C5">
        <w:rPr>
          <w:rFonts w:cs="Times New Roman"/>
          <w:szCs w:val="28"/>
          <w:lang w:val="ru-RU"/>
        </w:rPr>
        <w:t>.</w:t>
      </w:r>
    </w:p>
    <w:p w:rsidR="00D962C4" w:rsidRPr="000160C5" w:rsidRDefault="00BD6D80" w:rsidP="007C7B3A">
      <w:pPr>
        <w:pStyle w:val="TNR14"/>
        <w:rPr>
          <w:rFonts w:cs="Times New Roman"/>
          <w:szCs w:val="28"/>
          <w:lang w:val="ru-RU"/>
        </w:rPr>
      </w:pPr>
      <w:r w:rsidRPr="000160C5">
        <w:rPr>
          <w:rFonts w:cs="Times New Roman"/>
          <w:szCs w:val="28"/>
          <w:lang w:val="ru-RU"/>
        </w:rPr>
        <w:t xml:space="preserve">Как указали </w:t>
      </w:r>
      <w:r w:rsidRPr="000160C5">
        <w:rPr>
          <w:rFonts w:cs="Times New Roman"/>
          <w:szCs w:val="28"/>
        </w:rPr>
        <w:t>David</w:t>
      </w:r>
      <w:r w:rsidRPr="000160C5">
        <w:rPr>
          <w:rFonts w:cs="Times New Roman"/>
          <w:szCs w:val="28"/>
          <w:lang w:val="ru-RU"/>
        </w:rPr>
        <w:t xml:space="preserve"> </w:t>
      </w:r>
      <w:r w:rsidRPr="000160C5">
        <w:rPr>
          <w:rFonts w:cs="Times New Roman"/>
          <w:szCs w:val="28"/>
        </w:rPr>
        <w:t>B</w:t>
      </w:r>
      <w:r w:rsidRPr="000160C5">
        <w:rPr>
          <w:rFonts w:cs="Times New Roman"/>
          <w:szCs w:val="28"/>
          <w:lang w:val="ru-RU"/>
        </w:rPr>
        <w:t>.</w:t>
      </w:r>
      <w:r w:rsidRPr="000160C5">
        <w:rPr>
          <w:rFonts w:cs="Times New Roman"/>
          <w:szCs w:val="28"/>
        </w:rPr>
        <w:t>H</w:t>
      </w:r>
      <w:r w:rsidRPr="000160C5">
        <w:rPr>
          <w:rFonts w:cs="Times New Roman"/>
          <w:szCs w:val="28"/>
          <w:lang w:val="ru-RU"/>
        </w:rPr>
        <w:t xml:space="preserve">. </w:t>
      </w:r>
      <w:r w:rsidRPr="000160C5">
        <w:rPr>
          <w:rFonts w:cs="Times New Roman"/>
          <w:szCs w:val="28"/>
        </w:rPr>
        <w:t>Martin</w:t>
      </w:r>
      <w:r w:rsidRPr="000160C5">
        <w:rPr>
          <w:rFonts w:cs="Times New Roman"/>
          <w:szCs w:val="28"/>
          <w:lang w:val="ru-RU"/>
        </w:rPr>
        <w:t xml:space="preserve"> и </w:t>
      </w:r>
      <w:r w:rsidRPr="000160C5">
        <w:rPr>
          <w:rFonts w:cs="Times New Roman"/>
          <w:szCs w:val="28"/>
        </w:rPr>
        <w:t>Graham</w:t>
      </w:r>
      <w:r w:rsidRPr="000160C5">
        <w:rPr>
          <w:rFonts w:cs="Times New Roman"/>
          <w:szCs w:val="28"/>
          <w:lang w:val="ru-RU"/>
        </w:rPr>
        <w:t xml:space="preserve"> </w:t>
      </w:r>
      <w:r w:rsidRPr="000160C5">
        <w:rPr>
          <w:rFonts w:cs="Times New Roman"/>
          <w:szCs w:val="28"/>
        </w:rPr>
        <w:t>Robinson</w:t>
      </w:r>
      <w:r w:rsidR="007958EC" w:rsidRPr="000160C5">
        <w:rPr>
          <w:rStyle w:val="a9"/>
          <w:rFonts w:cs="Times New Roman"/>
          <w:szCs w:val="28"/>
        </w:rPr>
        <w:footnoteReference w:id="96"/>
      </w:r>
      <w:r w:rsidRPr="000160C5">
        <w:rPr>
          <w:rFonts w:cs="Times New Roman"/>
          <w:szCs w:val="28"/>
          <w:lang w:val="ru-RU"/>
        </w:rPr>
        <w:t xml:space="preserve">, доказать состав правонарушения </w:t>
      </w:r>
      <w:r w:rsidR="003B5D72" w:rsidRPr="000160C5">
        <w:rPr>
          <w:rFonts w:cs="Times New Roman"/>
          <w:szCs w:val="28"/>
          <w:lang w:val="ru-RU"/>
        </w:rPr>
        <w:t>в рассматриваемом случае</w:t>
      </w:r>
      <w:r w:rsidRPr="000160C5">
        <w:rPr>
          <w:rFonts w:cs="Times New Roman"/>
          <w:szCs w:val="28"/>
          <w:lang w:val="ru-RU"/>
        </w:rPr>
        <w:t xml:space="preserve"> не так уж и просто</w:t>
      </w:r>
      <w:r w:rsidR="009567EB" w:rsidRPr="000160C5">
        <w:rPr>
          <w:rFonts w:cs="Times New Roman"/>
          <w:szCs w:val="28"/>
          <w:lang w:val="ru-RU"/>
        </w:rPr>
        <w:t xml:space="preserve">, поскольку важным элементом доказывания является «вмененная </w:t>
      </w:r>
      <w:proofErr w:type="spellStart"/>
      <w:r w:rsidR="009567EB" w:rsidRPr="000160C5">
        <w:rPr>
          <w:rFonts w:cs="Times New Roman"/>
          <w:szCs w:val="28"/>
          <w:lang w:val="ru-RU"/>
        </w:rPr>
        <w:t>заведомость</w:t>
      </w:r>
      <w:proofErr w:type="spellEnd"/>
      <w:r w:rsidR="009567EB" w:rsidRPr="000160C5">
        <w:rPr>
          <w:rFonts w:cs="Times New Roman"/>
          <w:szCs w:val="28"/>
          <w:lang w:val="ru-RU"/>
        </w:rPr>
        <w:t>»  эмитента, то есть осознание того, что публикуемая информация является неточной, недостоверной, вводящей в заблуждение, неполной и пр.</w:t>
      </w:r>
    </w:p>
    <w:p w:rsidR="00BD6D80" w:rsidRPr="000160C5" w:rsidRDefault="00D962C4" w:rsidP="007C7B3A">
      <w:pPr>
        <w:pStyle w:val="TNR14"/>
        <w:rPr>
          <w:rFonts w:cs="Times New Roman"/>
          <w:szCs w:val="28"/>
          <w:lang w:val="ru-RU"/>
        </w:rPr>
      </w:pPr>
      <w:r w:rsidRPr="000160C5">
        <w:rPr>
          <w:rFonts w:cs="Times New Roman"/>
          <w:szCs w:val="28"/>
          <w:lang w:val="ru-RU"/>
        </w:rPr>
        <w:t xml:space="preserve">Намного проще взыскать убытки с эмитента по Закону о ценных бумагах 1933 года. Здесь инвестору достаточно  продемонстрировать существенность недостоверности информации или неполноты сведений, содержащихся в отчете, и единственным возражением эмитента может быть доказательство того, что инвестор знал о недостоверности сведений, </w:t>
      </w:r>
      <w:r w:rsidRPr="000160C5">
        <w:rPr>
          <w:rFonts w:cs="Times New Roman"/>
          <w:szCs w:val="28"/>
          <w:lang w:val="ru-RU"/>
        </w:rPr>
        <w:lastRenderedPageBreak/>
        <w:t>содержащихся в отчете, на момент приобретения ценных бумаг, либо что его убытки не связаны с недостоверным отчетом. Таким образом, многие ученые отзываются об ответственности, установленной данным составом</w:t>
      </w:r>
      <w:r w:rsidR="00B5273C" w:rsidRPr="000160C5">
        <w:rPr>
          <w:rFonts w:cs="Times New Roman"/>
          <w:szCs w:val="28"/>
          <w:lang w:val="ru-RU"/>
        </w:rPr>
        <w:t xml:space="preserve"> в Законе о ценных бумагах</w:t>
      </w:r>
      <w:r w:rsidRPr="000160C5">
        <w:rPr>
          <w:rFonts w:cs="Times New Roman"/>
          <w:szCs w:val="28"/>
          <w:lang w:val="ru-RU"/>
        </w:rPr>
        <w:t>, как об объективной, поскольку достаточно факта недостоверности содержащихся в отчете сведений.</w:t>
      </w:r>
      <w:r w:rsidR="009567EB" w:rsidRPr="000160C5">
        <w:rPr>
          <w:rFonts w:cs="Times New Roman"/>
          <w:szCs w:val="28"/>
          <w:lang w:val="ru-RU"/>
        </w:rPr>
        <w:t xml:space="preserve"> </w:t>
      </w:r>
    </w:p>
    <w:p w:rsidR="003D4ED3" w:rsidRPr="000160C5" w:rsidRDefault="003D4ED3" w:rsidP="007C7B3A">
      <w:pPr>
        <w:pStyle w:val="TNR14"/>
        <w:rPr>
          <w:rFonts w:cs="Times New Roman"/>
          <w:szCs w:val="28"/>
          <w:lang w:val="ru-RU"/>
        </w:rPr>
      </w:pPr>
      <w:r w:rsidRPr="000160C5">
        <w:rPr>
          <w:rFonts w:cs="Times New Roman"/>
          <w:szCs w:val="28"/>
          <w:lang w:val="ru-RU"/>
        </w:rPr>
        <w:t>Важно указать, что истцом по указанным составам может быть любое лицо, которое продало или купило ценные бумаги, цена на которые подверглась изменению в связи с опубликованием недостоверного или вводящего в заблуждение отчета</w:t>
      </w:r>
      <w:r w:rsidRPr="000160C5">
        <w:rPr>
          <w:rStyle w:val="a9"/>
          <w:rFonts w:cs="Times New Roman"/>
          <w:szCs w:val="28"/>
          <w:lang w:val="ru-RU"/>
        </w:rPr>
        <w:footnoteReference w:id="97"/>
      </w:r>
      <w:r w:rsidRPr="000160C5">
        <w:rPr>
          <w:rFonts w:cs="Times New Roman"/>
          <w:szCs w:val="28"/>
          <w:lang w:val="ru-RU"/>
        </w:rPr>
        <w:t xml:space="preserve">. </w:t>
      </w:r>
    </w:p>
    <w:p w:rsidR="00ED2253" w:rsidRPr="000160C5" w:rsidRDefault="00862D6C" w:rsidP="007C7B3A">
      <w:pPr>
        <w:pStyle w:val="TNR14"/>
        <w:rPr>
          <w:rFonts w:cs="Times New Roman"/>
          <w:szCs w:val="28"/>
          <w:lang w:val="ru-RU"/>
        </w:rPr>
      </w:pPr>
      <w:r w:rsidRPr="000160C5">
        <w:rPr>
          <w:rFonts w:cs="Times New Roman"/>
          <w:szCs w:val="28"/>
          <w:lang w:val="ru-RU"/>
        </w:rPr>
        <w:t>Итак, исходя из выше описанного, гражданско-правовая ответственность эмитента</w:t>
      </w:r>
      <w:r w:rsidR="008223CA" w:rsidRPr="000160C5">
        <w:rPr>
          <w:rFonts w:cs="Times New Roman"/>
          <w:szCs w:val="28"/>
          <w:lang w:val="ru-RU"/>
        </w:rPr>
        <w:t xml:space="preserve"> предусмотрена в законодательстве и России, и США. Однако реализуется ответственность в правоприменительной практике обоих государств по-разному: если в США доказать наличие состава правонарушения сложно, но возможно, то российская практика по возмещению убытков не сложилась вовсе. </w:t>
      </w:r>
    </w:p>
    <w:p w:rsidR="00862D6C" w:rsidRPr="000160C5" w:rsidRDefault="00ED2253" w:rsidP="00ED2253">
      <w:pPr>
        <w:pStyle w:val="2"/>
        <w:rPr>
          <w:rFonts w:cs="Times New Roman"/>
        </w:rPr>
      </w:pPr>
      <w:bookmarkStart w:id="25" w:name="_Toc356162065"/>
      <w:r w:rsidRPr="000160C5">
        <w:rPr>
          <w:rFonts w:cs="Times New Roman"/>
        </w:rPr>
        <w:t>§4. Выводы</w:t>
      </w:r>
      <w:bookmarkEnd w:id="25"/>
      <w:r w:rsidR="00862D6C" w:rsidRPr="000160C5">
        <w:rPr>
          <w:rFonts w:cs="Times New Roman"/>
        </w:rPr>
        <w:t xml:space="preserve"> </w:t>
      </w:r>
    </w:p>
    <w:p w:rsidR="00ED2253" w:rsidRPr="000160C5" w:rsidRDefault="00ED2253" w:rsidP="00CA55C2">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В рамках третьей главы настоящего исследования, посвященной правовым последствиям нарушения эмитентами требований по раскрытию информации, были рассмотрены следующие вопросы:</w:t>
      </w:r>
    </w:p>
    <w:p w:rsidR="003D1D76" w:rsidRPr="000160C5" w:rsidRDefault="00ED2253" w:rsidP="00CA55C2">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1) </w:t>
      </w:r>
      <w:r w:rsidRPr="000160C5">
        <w:rPr>
          <w:rFonts w:ascii="Times New Roman" w:hAnsi="Times New Roman" w:cs="Times New Roman"/>
          <w:i/>
          <w:sz w:val="28"/>
          <w:szCs w:val="28"/>
        </w:rPr>
        <w:t>Административная ответственность эмитента</w:t>
      </w:r>
      <w:r w:rsidRPr="000160C5">
        <w:rPr>
          <w:rFonts w:ascii="Times New Roman" w:hAnsi="Times New Roman" w:cs="Times New Roman"/>
          <w:sz w:val="28"/>
          <w:szCs w:val="28"/>
        </w:rPr>
        <w:t xml:space="preserve">. Понятие и состав административного правонарушения, являющегося основанием для привлечения к административной ответственности, закреплены в российском и американском законодательстве по-разному: общие формулировки американского закона предоставляют широкие полномочия правоприменительным органам в противовес </w:t>
      </w:r>
      <w:r w:rsidR="003D1D76" w:rsidRPr="000160C5">
        <w:rPr>
          <w:rFonts w:ascii="Times New Roman" w:hAnsi="Times New Roman" w:cs="Times New Roman"/>
          <w:sz w:val="28"/>
          <w:szCs w:val="28"/>
        </w:rPr>
        <w:t xml:space="preserve">точным формулировкам </w:t>
      </w:r>
      <w:r w:rsidRPr="000160C5">
        <w:rPr>
          <w:rFonts w:ascii="Times New Roman" w:hAnsi="Times New Roman" w:cs="Times New Roman"/>
          <w:sz w:val="28"/>
          <w:szCs w:val="28"/>
        </w:rPr>
        <w:t>российск</w:t>
      </w:r>
      <w:r w:rsidR="003D1D76" w:rsidRPr="000160C5">
        <w:rPr>
          <w:rFonts w:ascii="Times New Roman" w:hAnsi="Times New Roman" w:cs="Times New Roman"/>
          <w:sz w:val="28"/>
          <w:szCs w:val="28"/>
        </w:rPr>
        <w:t>ого</w:t>
      </w:r>
      <w:r w:rsidRPr="000160C5">
        <w:rPr>
          <w:rFonts w:ascii="Times New Roman" w:hAnsi="Times New Roman" w:cs="Times New Roman"/>
          <w:sz w:val="28"/>
          <w:szCs w:val="28"/>
        </w:rPr>
        <w:t xml:space="preserve"> </w:t>
      </w:r>
      <w:r w:rsidR="003D1D76" w:rsidRPr="000160C5">
        <w:rPr>
          <w:rFonts w:ascii="Times New Roman" w:hAnsi="Times New Roman" w:cs="Times New Roman"/>
          <w:sz w:val="28"/>
          <w:szCs w:val="28"/>
        </w:rPr>
        <w:t xml:space="preserve">закона, ограничивающего </w:t>
      </w:r>
      <w:r w:rsidRPr="000160C5">
        <w:rPr>
          <w:rFonts w:ascii="Times New Roman" w:hAnsi="Times New Roman" w:cs="Times New Roman"/>
          <w:sz w:val="28"/>
          <w:szCs w:val="28"/>
        </w:rPr>
        <w:t>правоприменительны</w:t>
      </w:r>
      <w:r w:rsidR="003D1D76" w:rsidRPr="000160C5">
        <w:rPr>
          <w:rFonts w:ascii="Times New Roman" w:hAnsi="Times New Roman" w:cs="Times New Roman"/>
          <w:sz w:val="28"/>
          <w:szCs w:val="28"/>
        </w:rPr>
        <w:t>е</w:t>
      </w:r>
      <w:r w:rsidRPr="000160C5">
        <w:rPr>
          <w:rFonts w:ascii="Times New Roman" w:hAnsi="Times New Roman" w:cs="Times New Roman"/>
          <w:sz w:val="28"/>
          <w:szCs w:val="28"/>
        </w:rPr>
        <w:t xml:space="preserve"> орган</w:t>
      </w:r>
      <w:r w:rsidR="003D1D76" w:rsidRPr="000160C5">
        <w:rPr>
          <w:rFonts w:ascii="Times New Roman" w:hAnsi="Times New Roman" w:cs="Times New Roman"/>
          <w:sz w:val="28"/>
          <w:szCs w:val="28"/>
        </w:rPr>
        <w:t>ы</w:t>
      </w:r>
      <w:r w:rsidRPr="000160C5">
        <w:rPr>
          <w:rFonts w:ascii="Times New Roman" w:hAnsi="Times New Roman" w:cs="Times New Roman"/>
          <w:sz w:val="28"/>
          <w:szCs w:val="28"/>
        </w:rPr>
        <w:t>.</w:t>
      </w:r>
    </w:p>
    <w:p w:rsidR="00ED2253" w:rsidRPr="000160C5" w:rsidRDefault="00ED2253" w:rsidP="00CA55C2">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Американские санкции служат, в том числе, целям устрашения и превенции повторного нарушения: высокие штрафы, приостановление или аннулирование выпуска ценных бумаг, находящихся в публичном </w:t>
      </w:r>
      <w:r w:rsidRPr="000160C5">
        <w:rPr>
          <w:rFonts w:ascii="Times New Roman" w:hAnsi="Times New Roman" w:cs="Times New Roman"/>
          <w:sz w:val="28"/>
          <w:szCs w:val="28"/>
        </w:rPr>
        <w:lastRenderedPageBreak/>
        <w:t>обращении. Российские санкции не выполняют</w:t>
      </w:r>
      <w:r w:rsidR="003D1D76" w:rsidRPr="000160C5">
        <w:rPr>
          <w:rFonts w:ascii="Times New Roman" w:hAnsi="Times New Roman" w:cs="Times New Roman"/>
          <w:sz w:val="28"/>
          <w:szCs w:val="28"/>
        </w:rPr>
        <w:t xml:space="preserve"> обозначенных</w:t>
      </w:r>
      <w:r w:rsidRPr="000160C5">
        <w:rPr>
          <w:rFonts w:ascii="Times New Roman" w:hAnsi="Times New Roman" w:cs="Times New Roman"/>
          <w:sz w:val="28"/>
          <w:szCs w:val="28"/>
        </w:rPr>
        <w:t xml:space="preserve"> функций наказания, так как для среднего и крупного бизнеса размер штрафа не является критичным, а потому корпорация может его заплатить и 10 раз подряд, как в случае  ОАО «Седьмой континент».</w:t>
      </w:r>
    </w:p>
    <w:p w:rsidR="00ED2253" w:rsidRPr="000160C5" w:rsidRDefault="00ED2253" w:rsidP="00CA55C2">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2) </w:t>
      </w:r>
      <w:r w:rsidRPr="000160C5">
        <w:rPr>
          <w:rFonts w:ascii="Times New Roman" w:hAnsi="Times New Roman" w:cs="Times New Roman"/>
          <w:i/>
          <w:sz w:val="28"/>
          <w:szCs w:val="28"/>
        </w:rPr>
        <w:t>Уголовная ответственность эмитента</w:t>
      </w:r>
      <w:r w:rsidRPr="000160C5">
        <w:rPr>
          <w:rFonts w:ascii="Times New Roman" w:hAnsi="Times New Roman" w:cs="Times New Roman"/>
          <w:sz w:val="28"/>
          <w:szCs w:val="28"/>
        </w:rPr>
        <w:t xml:space="preserve">. Преступление в отличие от административного правонарушения характеризуется большей степенью общественной опасности. Американское законодательство предусматривает несколько составов преступлений в рассматриваемой области и достаточно суровые меры наказания за совершенные преступления, которые нашли свое применение на практике. Российский законодатель </w:t>
      </w:r>
      <w:r w:rsidR="00B607FA" w:rsidRPr="000160C5">
        <w:rPr>
          <w:rFonts w:ascii="Times New Roman" w:hAnsi="Times New Roman" w:cs="Times New Roman"/>
          <w:sz w:val="28"/>
          <w:szCs w:val="28"/>
        </w:rPr>
        <w:t xml:space="preserve">лишь в 2002 году </w:t>
      </w:r>
      <w:r w:rsidRPr="000160C5">
        <w:rPr>
          <w:rFonts w:ascii="Times New Roman" w:hAnsi="Times New Roman" w:cs="Times New Roman"/>
          <w:sz w:val="28"/>
          <w:szCs w:val="28"/>
        </w:rPr>
        <w:t xml:space="preserve">ввел </w:t>
      </w:r>
      <w:r w:rsidR="00B607FA" w:rsidRPr="000160C5">
        <w:rPr>
          <w:rFonts w:ascii="Times New Roman" w:hAnsi="Times New Roman" w:cs="Times New Roman"/>
          <w:sz w:val="28"/>
          <w:szCs w:val="28"/>
        </w:rPr>
        <w:t>состав</w:t>
      </w:r>
      <w:r w:rsidRPr="000160C5">
        <w:rPr>
          <w:rFonts w:ascii="Times New Roman" w:hAnsi="Times New Roman" w:cs="Times New Roman"/>
          <w:sz w:val="28"/>
          <w:szCs w:val="28"/>
        </w:rPr>
        <w:t xml:space="preserve"> преступления</w:t>
      </w:r>
      <w:r w:rsidR="00B607FA" w:rsidRPr="000160C5">
        <w:rPr>
          <w:rFonts w:ascii="Times New Roman" w:hAnsi="Times New Roman" w:cs="Times New Roman"/>
          <w:sz w:val="28"/>
          <w:szCs w:val="28"/>
        </w:rPr>
        <w:t xml:space="preserve"> в рассматриваемой области</w:t>
      </w:r>
      <w:r w:rsidRPr="000160C5">
        <w:rPr>
          <w:rFonts w:ascii="Times New Roman" w:hAnsi="Times New Roman" w:cs="Times New Roman"/>
          <w:sz w:val="28"/>
          <w:szCs w:val="28"/>
        </w:rPr>
        <w:t xml:space="preserve">, </w:t>
      </w:r>
      <w:r w:rsidR="00B607FA" w:rsidRPr="000160C5">
        <w:rPr>
          <w:rFonts w:ascii="Times New Roman" w:hAnsi="Times New Roman" w:cs="Times New Roman"/>
          <w:sz w:val="28"/>
          <w:szCs w:val="28"/>
        </w:rPr>
        <w:t>заключающийся в</w:t>
      </w:r>
      <w:r w:rsidRPr="000160C5">
        <w:rPr>
          <w:rFonts w:ascii="Times New Roman" w:hAnsi="Times New Roman" w:cs="Times New Roman"/>
          <w:sz w:val="28"/>
          <w:szCs w:val="28"/>
        </w:rPr>
        <w:t xml:space="preserve"> злостно</w:t>
      </w:r>
      <w:r w:rsidR="00B607FA" w:rsidRPr="000160C5">
        <w:rPr>
          <w:rFonts w:ascii="Times New Roman" w:hAnsi="Times New Roman" w:cs="Times New Roman"/>
          <w:sz w:val="28"/>
          <w:szCs w:val="28"/>
        </w:rPr>
        <w:t>м</w:t>
      </w:r>
      <w:r w:rsidRPr="000160C5">
        <w:rPr>
          <w:rFonts w:ascii="Times New Roman" w:hAnsi="Times New Roman" w:cs="Times New Roman"/>
          <w:sz w:val="28"/>
          <w:szCs w:val="28"/>
        </w:rPr>
        <w:t xml:space="preserve"> уклонени</w:t>
      </w:r>
      <w:r w:rsidR="00B607FA" w:rsidRPr="000160C5">
        <w:rPr>
          <w:rFonts w:ascii="Times New Roman" w:hAnsi="Times New Roman" w:cs="Times New Roman"/>
          <w:sz w:val="28"/>
          <w:szCs w:val="28"/>
        </w:rPr>
        <w:t>и</w:t>
      </w:r>
      <w:r w:rsidRPr="000160C5">
        <w:rPr>
          <w:rFonts w:ascii="Times New Roman" w:hAnsi="Times New Roman" w:cs="Times New Roman"/>
          <w:sz w:val="28"/>
          <w:szCs w:val="28"/>
        </w:rPr>
        <w:t xml:space="preserve"> от раскрытия или раскрыти</w:t>
      </w:r>
      <w:r w:rsidR="00B607FA" w:rsidRPr="000160C5">
        <w:rPr>
          <w:rFonts w:ascii="Times New Roman" w:hAnsi="Times New Roman" w:cs="Times New Roman"/>
          <w:sz w:val="28"/>
          <w:szCs w:val="28"/>
        </w:rPr>
        <w:t>я</w:t>
      </w:r>
      <w:r w:rsidRPr="000160C5">
        <w:rPr>
          <w:rFonts w:ascii="Times New Roman" w:hAnsi="Times New Roman" w:cs="Times New Roman"/>
          <w:sz w:val="28"/>
          <w:szCs w:val="28"/>
        </w:rPr>
        <w:t xml:space="preserve"> заведомо ложной информации в случае, если указанные действия причинили уще</w:t>
      </w:r>
      <w:proofErr w:type="gramStart"/>
      <w:r w:rsidRPr="000160C5">
        <w:rPr>
          <w:rFonts w:ascii="Times New Roman" w:hAnsi="Times New Roman" w:cs="Times New Roman"/>
          <w:sz w:val="28"/>
          <w:szCs w:val="28"/>
        </w:rPr>
        <w:t>рб в кр</w:t>
      </w:r>
      <w:proofErr w:type="gramEnd"/>
      <w:r w:rsidRPr="000160C5">
        <w:rPr>
          <w:rFonts w:ascii="Times New Roman" w:hAnsi="Times New Roman" w:cs="Times New Roman"/>
          <w:sz w:val="28"/>
          <w:szCs w:val="28"/>
        </w:rPr>
        <w:t>упном размере</w:t>
      </w:r>
      <w:r w:rsidR="00B607FA" w:rsidRPr="000160C5">
        <w:rPr>
          <w:rFonts w:ascii="Times New Roman" w:hAnsi="Times New Roman" w:cs="Times New Roman"/>
          <w:sz w:val="28"/>
          <w:szCs w:val="28"/>
        </w:rPr>
        <w:t xml:space="preserve">. </w:t>
      </w:r>
      <w:r w:rsidRPr="000160C5">
        <w:rPr>
          <w:rFonts w:ascii="Times New Roman" w:hAnsi="Times New Roman" w:cs="Times New Roman"/>
          <w:sz w:val="28"/>
          <w:szCs w:val="28"/>
        </w:rPr>
        <w:t xml:space="preserve">Однако за вот уже 11 лет существования нормы практика ее применения не сложилась, таким образом, норма не прижилась. Кроме того, сами меры наказания, предусмотренные данной нормой, не идут в сравнение с суровыми мерами ответственности, содержащими в американском законодательстве.    </w:t>
      </w:r>
    </w:p>
    <w:p w:rsidR="00B607FA" w:rsidRPr="000160C5" w:rsidRDefault="00ED2253" w:rsidP="00B607FA">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3) </w:t>
      </w:r>
      <w:r w:rsidRPr="000160C5">
        <w:rPr>
          <w:rFonts w:ascii="Times New Roman" w:hAnsi="Times New Roman" w:cs="Times New Roman"/>
          <w:i/>
          <w:sz w:val="28"/>
          <w:szCs w:val="28"/>
        </w:rPr>
        <w:t>Гражданско-правовая ответственность эмитента</w:t>
      </w:r>
      <w:r w:rsidRPr="000160C5">
        <w:rPr>
          <w:rFonts w:ascii="Times New Roman" w:hAnsi="Times New Roman" w:cs="Times New Roman"/>
          <w:sz w:val="28"/>
          <w:szCs w:val="28"/>
        </w:rPr>
        <w:t xml:space="preserve">. Функция гражданско-правовой ответственности носит компенсаторно-восстановительный характер: за счет умаления имущественной базы </w:t>
      </w:r>
      <w:proofErr w:type="spellStart"/>
      <w:r w:rsidRPr="000160C5">
        <w:rPr>
          <w:rFonts w:ascii="Times New Roman" w:hAnsi="Times New Roman" w:cs="Times New Roman"/>
          <w:sz w:val="28"/>
          <w:szCs w:val="28"/>
        </w:rPr>
        <w:t>причинителя</w:t>
      </w:r>
      <w:proofErr w:type="spellEnd"/>
      <w:r w:rsidRPr="000160C5">
        <w:rPr>
          <w:rFonts w:ascii="Times New Roman" w:hAnsi="Times New Roman" w:cs="Times New Roman"/>
          <w:sz w:val="28"/>
          <w:szCs w:val="28"/>
        </w:rPr>
        <w:t xml:space="preserve"> вреда восстанавливаются нарушенные права</w:t>
      </w:r>
      <w:r w:rsidR="00B607FA" w:rsidRPr="000160C5">
        <w:rPr>
          <w:rFonts w:ascii="Times New Roman" w:hAnsi="Times New Roman" w:cs="Times New Roman"/>
          <w:sz w:val="28"/>
          <w:szCs w:val="28"/>
        </w:rPr>
        <w:t xml:space="preserve"> потерпевшего. </w:t>
      </w:r>
      <w:r w:rsidRPr="000160C5">
        <w:rPr>
          <w:rFonts w:ascii="Times New Roman" w:hAnsi="Times New Roman" w:cs="Times New Roman"/>
          <w:sz w:val="28"/>
          <w:szCs w:val="28"/>
        </w:rPr>
        <w:t xml:space="preserve">Общей мерой гражданско-правовой ответственности является взыскание убытков. </w:t>
      </w:r>
    </w:p>
    <w:p w:rsidR="00B607FA" w:rsidRPr="000160C5" w:rsidRDefault="00ED2253" w:rsidP="00B607FA">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Нормативное основание для применения указанной меры ответственности содержится в законодательстве обеих стран. Однако российская модель правонарушения и сложившаяся практика не позволяют данной норме реализовываться. Причиной тому, вероятно, выступает тот фактор, что одним из элементов гражданского правонарушения является причинно-следственная связь между противоправным деянием нарушителя и </w:t>
      </w:r>
      <w:r w:rsidRPr="000160C5">
        <w:rPr>
          <w:rFonts w:ascii="Times New Roman" w:hAnsi="Times New Roman" w:cs="Times New Roman"/>
          <w:sz w:val="28"/>
          <w:szCs w:val="28"/>
        </w:rPr>
        <w:lastRenderedPageBreak/>
        <w:t xml:space="preserve">убытками потерпевшего, и в рамках рассматриваемого состава правонарушения данный элемент является </w:t>
      </w:r>
      <w:r w:rsidR="00B607FA" w:rsidRPr="000160C5">
        <w:rPr>
          <w:rFonts w:ascii="Times New Roman" w:hAnsi="Times New Roman" w:cs="Times New Roman"/>
          <w:sz w:val="28"/>
          <w:szCs w:val="28"/>
        </w:rPr>
        <w:t>практически недоказуемым.</w:t>
      </w:r>
    </w:p>
    <w:p w:rsidR="00B607FA" w:rsidRPr="000160C5" w:rsidRDefault="00ED2253" w:rsidP="00B607FA">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Относительно законодательства США важно отметить то, что эмитентов достаточно просто привлечь к ответственности по Закону о ценных бумагах, то есть за нарушение требований по раскрытию информации на этапе регистрации выпуска ценных бумаг, и сложнее – по Закону о торговле ценными бумагами 1934 года за нарушение требований по периодическому раскрытию. Для упрощения процедуры доказывания американские суды разрабатывают различные презумпции, облегчающие бремя доказывания, лежащее на истце, то есть инвесторе. Подобный подход, на взгляд автора, служит, прежде всего, целям защиты инвестора как слабой стороны </w:t>
      </w:r>
      <w:r w:rsidR="00B607FA" w:rsidRPr="000160C5">
        <w:rPr>
          <w:rFonts w:ascii="Times New Roman" w:hAnsi="Times New Roman" w:cs="Times New Roman"/>
          <w:sz w:val="28"/>
          <w:szCs w:val="28"/>
        </w:rPr>
        <w:t xml:space="preserve">в </w:t>
      </w:r>
      <w:r w:rsidRPr="000160C5">
        <w:rPr>
          <w:rFonts w:ascii="Times New Roman" w:hAnsi="Times New Roman" w:cs="Times New Roman"/>
          <w:sz w:val="28"/>
          <w:szCs w:val="28"/>
        </w:rPr>
        <w:t>отношени</w:t>
      </w:r>
      <w:r w:rsidR="00B607FA" w:rsidRPr="000160C5">
        <w:rPr>
          <w:rFonts w:ascii="Times New Roman" w:hAnsi="Times New Roman" w:cs="Times New Roman"/>
          <w:sz w:val="28"/>
          <w:szCs w:val="28"/>
        </w:rPr>
        <w:t>ях</w:t>
      </w:r>
      <w:r w:rsidRPr="000160C5">
        <w:rPr>
          <w:rFonts w:ascii="Times New Roman" w:hAnsi="Times New Roman" w:cs="Times New Roman"/>
          <w:sz w:val="28"/>
          <w:szCs w:val="28"/>
        </w:rPr>
        <w:t xml:space="preserve"> с эмитентом. </w:t>
      </w:r>
    </w:p>
    <w:p w:rsidR="00B02A72" w:rsidRPr="000160C5" w:rsidRDefault="00ED2253" w:rsidP="00B607FA">
      <w:pPr>
        <w:spacing w:after="0" w:line="360" w:lineRule="auto"/>
        <w:ind w:firstLine="709"/>
        <w:jc w:val="both"/>
        <w:rPr>
          <w:rFonts w:ascii="Times New Roman" w:hAnsi="Times New Roman" w:cs="Times New Roman"/>
          <w:sz w:val="28"/>
          <w:szCs w:val="28"/>
        </w:rPr>
      </w:pPr>
      <w:r w:rsidRPr="000160C5">
        <w:rPr>
          <w:rFonts w:ascii="Times New Roman" w:hAnsi="Times New Roman" w:cs="Times New Roman"/>
          <w:sz w:val="28"/>
          <w:szCs w:val="28"/>
        </w:rPr>
        <w:t xml:space="preserve">В России концепция частной ответственности эмитента не работает, хотя и закреплена нормативно. Автор работы полагает, что вероятно, </w:t>
      </w:r>
      <w:r w:rsidR="00B607FA" w:rsidRPr="000160C5">
        <w:rPr>
          <w:rFonts w:ascii="Times New Roman" w:hAnsi="Times New Roman" w:cs="Times New Roman"/>
          <w:sz w:val="28"/>
          <w:szCs w:val="28"/>
        </w:rPr>
        <w:t>практическая</w:t>
      </w:r>
      <w:r w:rsidRPr="000160C5">
        <w:rPr>
          <w:rFonts w:ascii="Times New Roman" w:hAnsi="Times New Roman" w:cs="Times New Roman"/>
          <w:sz w:val="28"/>
          <w:szCs w:val="28"/>
        </w:rPr>
        <w:t xml:space="preserve"> возможность взыскать убытки с эмитента и его должностных лиц могл</w:t>
      </w:r>
      <w:r w:rsidR="00B607FA" w:rsidRPr="000160C5">
        <w:rPr>
          <w:rFonts w:ascii="Times New Roman" w:hAnsi="Times New Roman" w:cs="Times New Roman"/>
          <w:sz w:val="28"/>
          <w:szCs w:val="28"/>
        </w:rPr>
        <w:t>а</w:t>
      </w:r>
      <w:r w:rsidRPr="000160C5">
        <w:rPr>
          <w:rFonts w:ascii="Times New Roman" w:hAnsi="Times New Roman" w:cs="Times New Roman"/>
          <w:sz w:val="28"/>
          <w:szCs w:val="28"/>
        </w:rPr>
        <w:t xml:space="preserve"> бы послужить для целей большей эффективности раскрытия информации эмитентами. Однако одной только гражданско-правовой ответственности будет недостаточно, так как действительно устрашающими и превентивными функциями обладает скорее административная и в большей степени – уголовная ответственность лиц, непосредственно ответственных за раскрытие информации. </w:t>
      </w:r>
      <w:r w:rsidR="00B607FA" w:rsidRPr="000160C5">
        <w:rPr>
          <w:rFonts w:ascii="Times New Roman" w:hAnsi="Times New Roman" w:cs="Times New Roman"/>
          <w:sz w:val="28"/>
          <w:szCs w:val="28"/>
        </w:rPr>
        <w:t xml:space="preserve">В </w:t>
      </w:r>
      <w:proofErr w:type="gramStart"/>
      <w:r w:rsidR="00B607FA" w:rsidRPr="000160C5">
        <w:rPr>
          <w:rFonts w:ascii="Times New Roman" w:hAnsi="Times New Roman" w:cs="Times New Roman"/>
          <w:sz w:val="28"/>
          <w:szCs w:val="28"/>
        </w:rPr>
        <w:t>связи</w:t>
      </w:r>
      <w:proofErr w:type="gramEnd"/>
      <w:r w:rsidR="00B607FA" w:rsidRPr="000160C5">
        <w:rPr>
          <w:rFonts w:ascii="Times New Roman" w:hAnsi="Times New Roman" w:cs="Times New Roman"/>
          <w:sz w:val="28"/>
          <w:szCs w:val="28"/>
        </w:rPr>
        <w:t xml:space="preserve"> с чем одним из способов решения проблемы прозрачности финансового рынка в России могло бы послужить ужесточение мер административной ответственности и возможное применение мер уголовной ответственности на практике. </w:t>
      </w:r>
    </w:p>
    <w:p w:rsidR="00750913" w:rsidRPr="000160C5" w:rsidRDefault="00B02A72" w:rsidP="00B35E64">
      <w:pPr>
        <w:spacing w:after="0" w:line="360" w:lineRule="auto"/>
        <w:ind w:firstLine="709"/>
        <w:jc w:val="both"/>
        <w:rPr>
          <w:rFonts w:cs="Times New Roman"/>
          <w:szCs w:val="28"/>
        </w:rPr>
      </w:pPr>
      <w:r w:rsidRPr="000160C5">
        <w:rPr>
          <w:rFonts w:ascii="Times New Roman" w:hAnsi="Times New Roman" w:cs="Times New Roman"/>
          <w:sz w:val="28"/>
          <w:szCs w:val="28"/>
        </w:rPr>
        <w:t xml:space="preserve">Тем не менее, какими бы меры ответственности за нарушения эмитентов в области раскрытия информации ни были, очень многое зависит от сложившейся хозяйственной практики взаимодействия участников делового оборота. Учитывая молодость и нестабильность российского рынка ценных бумаг, для российского законодателя открывается много возможностей разрабатывать и улучшать систему взаимоотношений и </w:t>
      </w:r>
      <w:r w:rsidRPr="000160C5">
        <w:rPr>
          <w:rFonts w:ascii="Times New Roman" w:hAnsi="Times New Roman" w:cs="Times New Roman"/>
          <w:sz w:val="28"/>
          <w:szCs w:val="28"/>
        </w:rPr>
        <w:lastRenderedPageBreak/>
        <w:t xml:space="preserve">функционирования </w:t>
      </w:r>
      <w:r w:rsidR="00F066CC" w:rsidRPr="000160C5">
        <w:rPr>
          <w:rFonts w:ascii="Times New Roman" w:hAnsi="Times New Roman" w:cs="Times New Roman"/>
          <w:sz w:val="28"/>
          <w:szCs w:val="28"/>
        </w:rPr>
        <w:t xml:space="preserve">субъектов </w:t>
      </w:r>
      <w:r w:rsidRPr="000160C5">
        <w:rPr>
          <w:rFonts w:ascii="Times New Roman" w:hAnsi="Times New Roman" w:cs="Times New Roman"/>
          <w:sz w:val="28"/>
          <w:szCs w:val="28"/>
        </w:rPr>
        <w:t>на финансовых рынках</w:t>
      </w:r>
      <w:r w:rsidR="001C4424">
        <w:rPr>
          <w:rFonts w:ascii="Times New Roman" w:hAnsi="Times New Roman" w:cs="Times New Roman"/>
          <w:sz w:val="28"/>
          <w:szCs w:val="28"/>
        </w:rPr>
        <w:t>, оглядываясь на опыт западных стран</w:t>
      </w:r>
      <w:r w:rsidRPr="000160C5">
        <w:rPr>
          <w:rFonts w:ascii="Times New Roman" w:hAnsi="Times New Roman" w:cs="Times New Roman"/>
          <w:sz w:val="28"/>
          <w:szCs w:val="28"/>
        </w:rPr>
        <w:t xml:space="preserve">. </w:t>
      </w:r>
      <w:r w:rsidR="00ED2253" w:rsidRPr="000160C5">
        <w:rPr>
          <w:rFonts w:ascii="Times New Roman" w:hAnsi="Times New Roman" w:cs="Times New Roman"/>
          <w:sz w:val="28"/>
          <w:szCs w:val="28"/>
        </w:rPr>
        <w:t xml:space="preserve">  </w:t>
      </w:r>
      <w:r w:rsidR="00750913" w:rsidRPr="000160C5">
        <w:rPr>
          <w:rFonts w:cs="Times New Roman"/>
          <w:szCs w:val="28"/>
        </w:rPr>
        <w:t xml:space="preserve">  </w:t>
      </w:r>
    </w:p>
    <w:p w:rsidR="00324D57" w:rsidRPr="000160C5" w:rsidRDefault="0096291D" w:rsidP="00F03BED">
      <w:pPr>
        <w:pStyle w:val="TNR14"/>
        <w:rPr>
          <w:rFonts w:cs="Times New Roman"/>
          <w:szCs w:val="28"/>
          <w:lang w:val="ru-RU"/>
        </w:rPr>
      </w:pPr>
      <w:r w:rsidRPr="000160C5">
        <w:rPr>
          <w:rFonts w:cs="Times New Roman"/>
          <w:szCs w:val="28"/>
          <w:lang w:val="ru-RU"/>
        </w:rPr>
        <w:t xml:space="preserve">      </w:t>
      </w:r>
      <w:r w:rsidR="00233212" w:rsidRPr="000160C5">
        <w:rPr>
          <w:rFonts w:cs="Times New Roman"/>
          <w:szCs w:val="28"/>
          <w:lang w:val="ru-RU"/>
        </w:rPr>
        <w:t xml:space="preserve"> </w:t>
      </w:r>
      <w:r w:rsidR="00EC2639" w:rsidRPr="000160C5">
        <w:rPr>
          <w:rFonts w:cs="Times New Roman"/>
          <w:szCs w:val="28"/>
          <w:lang w:val="ru-RU"/>
        </w:rPr>
        <w:t xml:space="preserve"> </w:t>
      </w:r>
      <w:r w:rsidR="00425502" w:rsidRPr="000160C5">
        <w:rPr>
          <w:rFonts w:cs="Times New Roman"/>
          <w:szCs w:val="28"/>
          <w:lang w:val="ru-RU"/>
        </w:rPr>
        <w:t xml:space="preserve">  </w:t>
      </w:r>
      <w:r w:rsidR="00874D50" w:rsidRPr="000160C5">
        <w:rPr>
          <w:rFonts w:cs="Times New Roman"/>
          <w:szCs w:val="28"/>
          <w:lang w:val="ru-RU"/>
        </w:rPr>
        <w:t xml:space="preserve"> </w:t>
      </w:r>
      <w:r w:rsidR="009D78B4" w:rsidRPr="000160C5">
        <w:rPr>
          <w:rFonts w:cs="Times New Roman"/>
          <w:szCs w:val="28"/>
          <w:lang w:val="ru-RU"/>
        </w:rPr>
        <w:t xml:space="preserve"> </w:t>
      </w:r>
      <w:r w:rsidR="00E834EB" w:rsidRPr="000160C5">
        <w:rPr>
          <w:rFonts w:cs="Times New Roman"/>
          <w:szCs w:val="28"/>
          <w:lang w:val="ru-RU"/>
        </w:rPr>
        <w:t xml:space="preserve">      </w:t>
      </w:r>
      <w:r w:rsidR="00874D50" w:rsidRPr="000160C5">
        <w:rPr>
          <w:rFonts w:cs="Times New Roman"/>
          <w:szCs w:val="28"/>
          <w:lang w:val="ru-RU"/>
        </w:rPr>
        <w:t xml:space="preserve">                          </w:t>
      </w:r>
    </w:p>
    <w:p w:rsidR="00B35E64" w:rsidRDefault="00345DBE" w:rsidP="007E1AA7">
      <w:pPr>
        <w:pStyle w:val="TNR14"/>
        <w:rPr>
          <w:rFonts w:cs="Times New Roman"/>
          <w:szCs w:val="28"/>
          <w:lang w:val="ru-RU"/>
        </w:rPr>
      </w:pPr>
      <w:r w:rsidRPr="000160C5">
        <w:rPr>
          <w:rFonts w:cs="Times New Roman"/>
          <w:szCs w:val="28"/>
          <w:lang w:val="ru-RU"/>
        </w:rPr>
        <w:t xml:space="preserve">  </w:t>
      </w:r>
    </w:p>
    <w:p w:rsidR="00B35E64" w:rsidRDefault="00B35E64">
      <w:pPr>
        <w:rPr>
          <w:rFonts w:ascii="Times New Roman" w:hAnsi="Times New Roman" w:cs="Times New Roman"/>
          <w:sz w:val="28"/>
          <w:szCs w:val="28"/>
        </w:rPr>
      </w:pPr>
      <w:r>
        <w:rPr>
          <w:rFonts w:cs="Times New Roman"/>
          <w:szCs w:val="28"/>
        </w:rPr>
        <w:br w:type="page"/>
      </w:r>
    </w:p>
    <w:p w:rsidR="00485C7F" w:rsidRDefault="00485C7F" w:rsidP="00485C7F">
      <w:pPr>
        <w:pStyle w:val="1"/>
      </w:pPr>
      <w:bookmarkStart w:id="26" w:name="_Toc356162066"/>
      <w:r>
        <w:lastRenderedPageBreak/>
        <w:t>Заключение</w:t>
      </w:r>
      <w:bookmarkEnd w:id="26"/>
    </w:p>
    <w:p w:rsidR="00CC546B" w:rsidRDefault="00CC546B" w:rsidP="00CC54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информационной прозрачности бизнеса служит множеству целей: от поддержания общественного блага и защиты публичного интереса в эффективно функционирующем фондовом рынке государства до защиты частных интересов инвесторов, предоставивших свой капитал эмитенту взамен на приобретение обязательственных прав к последнему. </w:t>
      </w:r>
    </w:p>
    <w:p w:rsidR="00CC546B" w:rsidRDefault="00CC546B" w:rsidP="00CC54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раскрытия информации напрямую зависит от государственного регулирования рынка ценных бумаг, что реализуется в каждом государстве по-своему. В рамках настоящей работы были рассмотрены модели государственного регулирования раскрытия информации эмитентами, реализованные в России и США, в частности модели ответственности эмитентов за нарушение требований по раскрытию информации.</w:t>
      </w:r>
    </w:p>
    <w:p w:rsidR="00CC546B" w:rsidRDefault="00CC546B" w:rsidP="00CC546B">
      <w:pPr>
        <w:pStyle w:val="TNR14"/>
        <w:rPr>
          <w:rFonts w:cs="Times New Roman"/>
          <w:lang w:val="ru-RU"/>
        </w:rPr>
      </w:pPr>
      <w:r w:rsidRPr="00CC546B">
        <w:rPr>
          <w:rFonts w:cs="Times New Roman"/>
          <w:szCs w:val="28"/>
          <w:lang w:val="ru-RU"/>
        </w:rPr>
        <w:t xml:space="preserve">Для целей настоящего исследования в первой главе была дана общая характеристика государственного регулирования раскрытия информации в России и США. Мы выяснили значение и важность института раскрытия </w:t>
      </w:r>
      <w:proofErr w:type="gramStart"/>
      <w:r w:rsidRPr="00CC546B">
        <w:rPr>
          <w:rFonts w:cs="Times New Roman"/>
          <w:szCs w:val="28"/>
          <w:lang w:val="ru-RU"/>
        </w:rPr>
        <w:t>информации</w:t>
      </w:r>
      <w:proofErr w:type="gramEnd"/>
      <w:r w:rsidRPr="00CC546B">
        <w:rPr>
          <w:rFonts w:cs="Times New Roman"/>
          <w:szCs w:val="28"/>
          <w:lang w:val="ru-RU"/>
        </w:rPr>
        <w:t xml:space="preserve"> как в масштабах всего государства, так и в рамках частного интереса конкретного инвестора. Также был определен круг эмитентов, обязанных раскрывать информацию: и Россия, и США возлагают указанную обязанность на компании, публично предлагающие и размещающие свои ценные бумаги. </w:t>
      </w:r>
      <w:r w:rsidRPr="00BE44C7">
        <w:rPr>
          <w:rFonts w:cs="Times New Roman"/>
          <w:szCs w:val="28"/>
          <w:lang w:val="ru-RU"/>
        </w:rPr>
        <w:t>Кроме того, были описаны общие положения осуществления публичного контроля уполномоченн</w:t>
      </w:r>
      <w:r>
        <w:rPr>
          <w:rFonts w:cs="Times New Roman"/>
          <w:szCs w:val="28"/>
          <w:lang w:val="ru-RU"/>
        </w:rPr>
        <w:t>ым государственным</w:t>
      </w:r>
      <w:r w:rsidRPr="00BE44C7">
        <w:rPr>
          <w:rFonts w:cs="Times New Roman"/>
          <w:szCs w:val="28"/>
          <w:lang w:val="ru-RU"/>
        </w:rPr>
        <w:t xml:space="preserve"> регулятор</w:t>
      </w:r>
      <w:r>
        <w:rPr>
          <w:rFonts w:cs="Times New Roman"/>
          <w:szCs w:val="28"/>
          <w:lang w:val="ru-RU"/>
        </w:rPr>
        <w:t>ом</w:t>
      </w:r>
      <w:r w:rsidRPr="00BE44C7">
        <w:rPr>
          <w:rFonts w:cs="Times New Roman"/>
          <w:szCs w:val="28"/>
          <w:lang w:val="ru-RU"/>
        </w:rPr>
        <w:t xml:space="preserve"> рынка ценных бумаг в обеих странах, а также дана общая характеристика нормативного регулирования раскрытия информации. </w:t>
      </w:r>
      <w:r w:rsidRPr="00B35C61">
        <w:rPr>
          <w:rFonts w:cs="Times New Roman"/>
          <w:szCs w:val="28"/>
          <w:lang w:val="ru-RU"/>
        </w:rPr>
        <w:t>По итогам пе</w:t>
      </w:r>
      <w:r>
        <w:rPr>
          <w:rFonts w:cs="Times New Roman"/>
          <w:szCs w:val="28"/>
          <w:lang w:val="ru-RU"/>
        </w:rPr>
        <w:t xml:space="preserve">рвой главы, мы пришли к выводу о </w:t>
      </w:r>
      <w:r>
        <w:rPr>
          <w:rFonts w:cs="Times New Roman"/>
          <w:lang w:val="ru-RU"/>
        </w:rPr>
        <w:t>существенных</w:t>
      </w:r>
      <w:r w:rsidRPr="000160C5">
        <w:rPr>
          <w:rFonts w:cs="Times New Roman"/>
          <w:lang w:val="ru-RU"/>
        </w:rPr>
        <w:t xml:space="preserve"> различ</w:t>
      </w:r>
      <w:r>
        <w:rPr>
          <w:rFonts w:cs="Times New Roman"/>
          <w:lang w:val="ru-RU"/>
        </w:rPr>
        <w:t>иях</w:t>
      </w:r>
      <w:r w:rsidRPr="000160C5">
        <w:rPr>
          <w:rFonts w:cs="Times New Roman"/>
          <w:lang w:val="ru-RU"/>
        </w:rPr>
        <w:t xml:space="preserve"> в подходе регулирования раскрытия информации в России и США при</w:t>
      </w:r>
      <w:r>
        <w:rPr>
          <w:rFonts w:cs="Times New Roman"/>
          <w:lang w:val="ru-RU"/>
        </w:rPr>
        <w:t xml:space="preserve"> сходных</w:t>
      </w:r>
      <w:r w:rsidRPr="000160C5">
        <w:rPr>
          <w:rFonts w:cs="Times New Roman"/>
          <w:lang w:val="ru-RU"/>
        </w:rPr>
        <w:t xml:space="preserve"> общих принципах установления обязанности по раскрытию информации для публичных компаний.</w:t>
      </w:r>
    </w:p>
    <w:p w:rsidR="00CC546B" w:rsidRDefault="00CC546B" w:rsidP="00CC546B">
      <w:pPr>
        <w:pStyle w:val="TNR14"/>
        <w:rPr>
          <w:rFonts w:cs="Times New Roman"/>
          <w:lang w:val="ru-RU"/>
        </w:rPr>
      </w:pPr>
      <w:r>
        <w:rPr>
          <w:rFonts w:cs="Times New Roman"/>
          <w:lang w:val="ru-RU"/>
        </w:rPr>
        <w:lastRenderedPageBreak/>
        <w:t xml:space="preserve">Во второй главе мы рассмотрели вопрос об объеме раскрываемой эмитентами информации. Ограниченные объемом и глубиной дипломной работы, мы рассмотрели лишь некоторые формы раскрытия информации, как-то: периодическое раскрытие на ежегодной, ежеквартальной основе и при наступлении существенных корпоративных событий, а также непериодическое раскрытие, имеющее место при эмиссии ценных бумаг и в иных предусмотренных нормативно случаях. По итогам детального сравнения содержания раскрываемой на периодической основе информации мы пришли к выводу о большей глубине и содержательности отчетов американских эмитентов при более компактных объемах в сравнении с массивными и менее содержательными отчетами российских эмитентов. Кроме того, мы рассмотрели способы раскрытия информации и случаи освобождения от обязательного раскрытия. На основе рассмотренного примера, мы пришли к выводу о слишком формальном подходе российского законодателя при закреплении критериев эмитента, который может подать заявление об освобождении от раскрытия информации. По итогам второй главы мы пришли </w:t>
      </w:r>
      <w:proofErr w:type="gramStart"/>
      <w:r>
        <w:rPr>
          <w:rFonts w:cs="Times New Roman"/>
          <w:lang w:val="ru-RU"/>
        </w:rPr>
        <w:t>к выводу о существенных</w:t>
      </w:r>
      <w:r w:rsidRPr="00CA377D">
        <w:rPr>
          <w:rFonts w:cs="Times New Roman"/>
          <w:lang w:val="ru-RU"/>
        </w:rPr>
        <w:t xml:space="preserve"> различи</w:t>
      </w:r>
      <w:r>
        <w:rPr>
          <w:rFonts w:cs="Times New Roman"/>
          <w:lang w:val="ru-RU"/>
        </w:rPr>
        <w:t>ях</w:t>
      </w:r>
      <w:r w:rsidRPr="00CA377D">
        <w:rPr>
          <w:rFonts w:cs="Times New Roman"/>
          <w:lang w:val="ru-RU"/>
        </w:rPr>
        <w:t xml:space="preserve"> в требованиях к глубине содержания раскрываемой информации в России</w:t>
      </w:r>
      <w:proofErr w:type="gramEnd"/>
      <w:r w:rsidRPr="00CA377D">
        <w:rPr>
          <w:rFonts w:cs="Times New Roman"/>
          <w:lang w:val="ru-RU"/>
        </w:rPr>
        <w:t xml:space="preserve"> и США при поверхностном сходстве в периодичности, формах и порядку раскрытия информации.  </w:t>
      </w:r>
      <w:r w:rsidRPr="00CA377D">
        <w:rPr>
          <w:rFonts w:cs="Times New Roman"/>
          <w:lang w:val="ru-RU"/>
        </w:rPr>
        <w:tab/>
      </w:r>
    </w:p>
    <w:p w:rsidR="00CC546B" w:rsidRDefault="00CC546B" w:rsidP="00CC546B">
      <w:pPr>
        <w:pStyle w:val="TNR14"/>
        <w:rPr>
          <w:rFonts w:cs="Times New Roman"/>
          <w:lang w:val="ru-RU"/>
        </w:rPr>
      </w:pPr>
      <w:r>
        <w:rPr>
          <w:rFonts w:cs="Times New Roman"/>
          <w:lang w:val="ru-RU"/>
        </w:rPr>
        <w:t xml:space="preserve">В третьей главе были рассмотрены административная, уголовная и гражданско-правовая ответственность эмитента за нарушение требований по раскрытию информации. В рамках рассмотрения каждого вида ответственности был определен состав правонарушения, приведены практические примеры реализации той или иной меры ответственности, а также сделан вывод об эффективности каждого вида ответственности в России и США. Общим итогом третьей главы является вывод о неэффективных мерах ответственности, предусмотренных российским законодательством, так как они не выполняют основные задачи наказания </w:t>
      </w:r>
      <w:proofErr w:type="gramStart"/>
      <w:r>
        <w:rPr>
          <w:rFonts w:cs="Times New Roman"/>
          <w:lang w:val="ru-RU"/>
        </w:rPr>
        <w:t>-к</w:t>
      </w:r>
      <w:proofErr w:type="gramEnd"/>
      <w:r>
        <w:rPr>
          <w:rFonts w:cs="Times New Roman"/>
          <w:lang w:val="ru-RU"/>
        </w:rPr>
        <w:t xml:space="preserve">арательную и превентивную. </w:t>
      </w:r>
      <w:proofErr w:type="gramStart"/>
      <w:r>
        <w:rPr>
          <w:rFonts w:cs="Times New Roman"/>
          <w:lang w:val="ru-RU"/>
        </w:rPr>
        <w:t xml:space="preserve">Американская концепция ответственности, в </w:t>
      </w:r>
      <w:r>
        <w:rPr>
          <w:rFonts w:cs="Times New Roman"/>
          <w:lang w:val="ru-RU"/>
        </w:rPr>
        <w:lastRenderedPageBreak/>
        <w:t xml:space="preserve">отличие от российской, построена таким образом, что эмитенты мотивированы соблюдать требования по раскрытию информации. </w:t>
      </w:r>
      <w:proofErr w:type="gramEnd"/>
    </w:p>
    <w:p w:rsidR="00CC546B" w:rsidRDefault="00CC546B" w:rsidP="00CC546B">
      <w:pPr>
        <w:pStyle w:val="TNR14"/>
        <w:rPr>
          <w:rFonts w:cs="Times New Roman"/>
          <w:lang w:val="ru-RU"/>
        </w:rPr>
      </w:pPr>
      <w:r>
        <w:rPr>
          <w:rFonts w:cs="Times New Roman"/>
          <w:lang w:val="ru-RU"/>
        </w:rPr>
        <w:t>Подводя итог исследованию, касающемуся ответственности эмитентов за нарушение требований по раскрытию информации на рынке ценных бумаг, был сделан общий вывод о том, что благодаря реализованной в США модели ответственности, уровень информационной прозрачности американского рынка ценных бумаг на порядок выше российского. В связи с чем, вероятно, российскому законодателю стоит задуматься о неэффективности существующей модели и необходимости существенных нововведений в сфере ответственности эмитентов за нарушение требований по раскрытию информации.</w:t>
      </w:r>
    </w:p>
    <w:p w:rsidR="00CC546B" w:rsidRPr="000160C5" w:rsidRDefault="00CC546B" w:rsidP="00CC546B">
      <w:pPr>
        <w:pStyle w:val="TNR14"/>
        <w:rPr>
          <w:rFonts w:cs="Times New Roman"/>
          <w:lang w:val="ru-RU"/>
        </w:rPr>
      </w:pPr>
      <w:r>
        <w:rPr>
          <w:rFonts w:cs="Times New Roman"/>
          <w:lang w:val="ru-RU"/>
        </w:rPr>
        <w:t xml:space="preserve"> </w:t>
      </w:r>
      <w:r w:rsidRPr="000160C5">
        <w:rPr>
          <w:rFonts w:cs="Times New Roman"/>
          <w:lang w:val="ru-RU"/>
        </w:rPr>
        <w:t xml:space="preserve"> </w:t>
      </w:r>
    </w:p>
    <w:p w:rsidR="00CC546B" w:rsidRPr="000160C5" w:rsidRDefault="00CC546B" w:rsidP="00CC546B">
      <w:pPr>
        <w:keepNext/>
        <w:widowControl w:val="0"/>
        <w:spacing w:after="0" w:line="360" w:lineRule="auto"/>
        <w:ind w:firstLine="709"/>
        <w:rPr>
          <w:rFonts w:ascii="Times New Roman" w:eastAsiaTheme="majorEastAsia" w:hAnsi="Times New Roman" w:cs="Times New Roman"/>
          <w:color w:val="4F81BD" w:themeColor="accent1"/>
          <w:sz w:val="28"/>
          <w:szCs w:val="28"/>
        </w:rPr>
      </w:pPr>
      <w:r w:rsidRPr="000160C5">
        <w:rPr>
          <w:rFonts w:ascii="Times New Roman" w:hAnsi="Times New Roman" w:cs="Times New Roman"/>
          <w:sz w:val="28"/>
          <w:szCs w:val="28"/>
        </w:rPr>
        <w:br w:type="page"/>
      </w:r>
    </w:p>
    <w:p w:rsidR="00EA542A" w:rsidRDefault="00485C7F" w:rsidP="00485C7F">
      <w:pPr>
        <w:pStyle w:val="1"/>
      </w:pPr>
      <w:bookmarkStart w:id="27" w:name="_Toc356162067"/>
      <w:r>
        <w:lastRenderedPageBreak/>
        <w:t>Библиография</w:t>
      </w:r>
      <w:bookmarkEnd w:id="27"/>
      <w:r w:rsidR="007F13A1" w:rsidRPr="000160C5">
        <w:t xml:space="preserve"> </w:t>
      </w:r>
      <w:r w:rsidR="005215B4" w:rsidRPr="000160C5">
        <w:t xml:space="preserve"> </w:t>
      </w:r>
      <w:r w:rsidR="00F0360E" w:rsidRPr="000160C5">
        <w:t xml:space="preserve"> </w:t>
      </w:r>
      <w:r w:rsidR="002C6414" w:rsidRPr="000160C5">
        <w:t xml:space="preserve"> </w:t>
      </w:r>
      <w:r w:rsidR="00F24D3B" w:rsidRPr="000160C5">
        <w:t xml:space="preserve"> </w:t>
      </w:r>
      <w:r w:rsidR="00AA645B" w:rsidRPr="000160C5">
        <w:t xml:space="preserve"> </w:t>
      </w:r>
    </w:p>
    <w:p w:rsidR="00485C7F" w:rsidRPr="005D0129" w:rsidRDefault="00485C7F" w:rsidP="00485C7F">
      <w:pPr>
        <w:spacing w:line="240" w:lineRule="auto"/>
        <w:jc w:val="both"/>
        <w:rPr>
          <w:rFonts w:ascii="Times New Roman" w:hAnsi="Times New Roman" w:cs="Times New Roman"/>
          <w:b/>
          <w:sz w:val="28"/>
          <w:szCs w:val="28"/>
          <w:u w:val="single"/>
        </w:rPr>
      </w:pPr>
      <w:r w:rsidRPr="005D0129">
        <w:rPr>
          <w:rFonts w:ascii="Times New Roman" w:hAnsi="Times New Roman" w:cs="Times New Roman"/>
          <w:b/>
          <w:sz w:val="28"/>
          <w:szCs w:val="28"/>
          <w:u w:val="single"/>
        </w:rPr>
        <w:t>Монографии и учебная литература</w:t>
      </w:r>
    </w:p>
    <w:p w:rsidR="00485C7F" w:rsidRPr="005D0129" w:rsidRDefault="00485C7F" w:rsidP="00485C7F">
      <w:pPr>
        <w:pStyle w:val="a3"/>
        <w:numPr>
          <w:ilvl w:val="0"/>
          <w:numId w:val="16"/>
        </w:numPr>
        <w:spacing w:line="240" w:lineRule="auto"/>
        <w:jc w:val="both"/>
        <w:rPr>
          <w:rFonts w:ascii="Times New Roman" w:hAnsi="Times New Roman" w:cs="Times New Roman"/>
          <w:sz w:val="28"/>
          <w:szCs w:val="28"/>
          <w:lang w:val="en-US"/>
        </w:rPr>
      </w:pPr>
      <w:r w:rsidRPr="005D0129">
        <w:rPr>
          <w:rFonts w:ascii="Times New Roman" w:hAnsi="Times New Roman" w:cs="Times New Roman"/>
          <w:sz w:val="28"/>
          <w:szCs w:val="28"/>
          <w:lang w:val="en-US"/>
        </w:rPr>
        <w:t>Charles Harrison Meyer. The Securities Exchange Act of 1934: Analyzed and Explained. - Wm. S. Hein Publishing, 1934.</w:t>
      </w:r>
    </w:p>
    <w:p w:rsidR="00485C7F" w:rsidRPr="005D0129" w:rsidRDefault="00485C7F" w:rsidP="00485C7F">
      <w:pPr>
        <w:pStyle w:val="a3"/>
        <w:numPr>
          <w:ilvl w:val="0"/>
          <w:numId w:val="16"/>
        </w:numPr>
        <w:spacing w:line="240" w:lineRule="auto"/>
        <w:jc w:val="both"/>
        <w:rPr>
          <w:rFonts w:ascii="Times New Roman" w:hAnsi="Times New Roman" w:cs="Times New Roman"/>
          <w:sz w:val="28"/>
          <w:szCs w:val="28"/>
          <w:lang w:val="en-US"/>
        </w:rPr>
      </w:pPr>
      <w:r w:rsidRPr="005D0129">
        <w:rPr>
          <w:rFonts w:ascii="Times New Roman" w:hAnsi="Times New Roman" w:cs="Times New Roman"/>
          <w:sz w:val="28"/>
          <w:szCs w:val="28"/>
          <w:lang w:val="en-US"/>
        </w:rPr>
        <w:t xml:space="preserve">Rafael La </w:t>
      </w:r>
      <w:proofErr w:type="spellStart"/>
      <w:r w:rsidRPr="005D0129">
        <w:rPr>
          <w:rFonts w:ascii="Times New Roman" w:hAnsi="Times New Roman" w:cs="Times New Roman"/>
          <w:sz w:val="28"/>
          <w:szCs w:val="28"/>
          <w:lang w:val="en-US"/>
        </w:rPr>
        <w:t>Porta</w:t>
      </w:r>
      <w:proofErr w:type="spellEnd"/>
      <w:r w:rsidRPr="005D0129">
        <w:rPr>
          <w:rFonts w:ascii="Times New Roman" w:hAnsi="Times New Roman" w:cs="Times New Roman"/>
          <w:sz w:val="28"/>
          <w:szCs w:val="28"/>
          <w:lang w:val="en-US"/>
        </w:rPr>
        <w:t>, Florencio Lopez-De-</w:t>
      </w:r>
      <w:proofErr w:type="spellStart"/>
      <w:r w:rsidRPr="005D0129">
        <w:rPr>
          <w:rFonts w:ascii="Times New Roman" w:hAnsi="Times New Roman" w:cs="Times New Roman"/>
          <w:sz w:val="28"/>
          <w:szCs w:val="28"/>
          <w:lang w:val="en-US"/>
        </w:rPr>
        <w:t>Silanes</w:t>
      </w:r>
      <w:proofErr w:type="spellEnd"/>
      <w:r w:rsidRPr="005D0129">
        <w:rPr>
          <w:rFonts w:ascii="Times New Roman" w:hAnsi="Times New Roman" w:cs="Times New Roman"/>
          <w:sz w:val="28"/>
          <w:szCs w:val="28"/>
          <w:lang w:val="en-US"/>
        </w:rPr>
        <w:t xml:space="preserve">, Andrei </w:t>
      </w:r>
      <w:proofErr w:type="spellStart"/>
      <w:r w:rsidRPr="005D0129">
        <w:rPr>
          <w:rFonts w:ascii="Times New Roman" w:hAnsi="Times New Roman" w:cs="Times New Roman"/>
          <w:sz w:val="28"/>
          <w:szCs w:val="28"/>
          <w:lang w:val="en-US"/>
        </w:rPr>
        <w:t>Shleifer</w:t>
      </w:r>
      <w:proofErr w:type="spellEnd"/>
      <w:r w:rsidRPr="005D0129">
        <w:rPr>
          <w:rFonts w:ascii="Times New Roman" w:hAnsi="Times New Roman" w:cs="Times New Roman"/>
          <w:sz w:val="28"/>
          <w:szCs w:val="28"/>
          <w:lang w:val="en-US"/>
        </w:rPr>
        <w:t>. What Works in Securities Laws? // The Journal of Finance. - Vol. 61. - No. 1 (</w:t>
      </w:r>
      <w:r w:rsidRPr="005D0129">
        <w:rPr>
          <w:rFonts w:ascii="Times New Roman" w:hAnsi="Times New Roman" w:cs="Times New Roman"/>
          <w:sz w:val="28"/>
          <w:szCs w:val="28"/>
        </w:rPr>
        <w:t>Февраль</w:t>
      </w:r>
      <w:r w:rsidRPr="005D0129">
        <w:rPr>
          <w:rFonts w:ascii="Times New Roman" w:hAnsi="Times New Roman" w:cs="Times New Roman"/>
          <w:sz w:val="28"/>
          <w:szCs w:val="28"/>
          <w:lang w:val="en-US"/>
        </w:rPr>
        <w:t xml:space="preserve">, 2006). - </w:t>
      </w:r>
      <w:proofErr w:type="spellStart"/>
      <w:proofErr w:type="gramStart"/>
      <w:r w:rsidRPr="005D0129">
        <w:rPr>
          <w:rFonts w:ascii="Times New Roman" w:hAnsi="Times New Roman" w:cs="Times New Roman"/>
          <w:sz w:val="28"/>
          <w:szCs w:val="28"/>
        </w:rPr>
        <w:t>стр</w:t>
      </w:r>
      <w:proofErr w:type="spellEnd"/>
      <w:proofErr w:type="gramEnd"/>
      <w:r w:rsidRPr="005D0129">
        <w:rPr>
          <w:rFonts w:ascii="Times New Roman" w:hAnsi="Times New Roman" w:cs="Times New Roman"/>
          <w:sz w:val="28"/>
          <w:szCs w:val="28"/>
          <w:lang w:val="en-US"/>
        </w:rPr>
        <w:t xml:space="preserve">. 1-32. - </w:t>
      </w:r>
      <w:r w:rsidRPr="005D0129">
        <w:rPr>
          <w:rFonts w:ascii="Times New Roman" w:hAnsi="Times New Roman" w:cs="Times New Roman"/>
          <w:sz w:val="28"/>
          <w:szCs w:val="28"/>
        </w:rPr>
        <w:t>Опубликовано</w:t>
      </w:r>
      <w:r w:rsidRPr="005D0129">
        <w:rPr>
          <w:rFonts w:ascii="Times New Roman" w:hAnsi="Times New Roman" w:cs="Times New Roman"/>
          <w:sz w:val="28"/>
          <w:szCs w:val="28"/>
          <w:lang w:val="en-US"/>
        </w:rPr>
        <w:t xml:space="preserve">: Wiley for the American Finance Association. – </w:t>
      </w:r>
      <w:r w:rsidRPr="005D0129">
        <w:rPr>
          <w:rFonts w:ascii="Times New Roman" w:hAnsi="Times New Roman" w:cs="Times New Roman"/>
          <w:sz w:val="28"/>
          <w:szCs w:val="28"/>
        </w:rPr>
        <w:t>Режим</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доступа</w:t>
      </w:r>
      <w:r w:rsidRPr="005D0129">
        <w:rPr>
          <w:rFonts w:ascii="Times New Roman" w:hAnsi="Times New Roman" w:cs="Times New Roman"/>
          <w:sz w:val="28"/>
          <w:szCs w:val="28"/>
          <w:lang w:val="en-US"/>
        </w:rPr>
        <w:t xml:space="preserve">: http://www.jstor.org/stable/3699333, </w:t>
      </w:r>
      <w:r w:rsidRPr="005D0129">
        <w:rPr>
          <w:rFonts w:ascii="Times New Roman" w:hAnsi="Times New Roman" w:cs="Times New Roman"/>
          <w:sz w:val="28"/>
          <w:szCs w:val="28"/>
        </w:rPr>
        <w:t>платный</w:t>
      </w:r>
      <w:r w:rsidRPr="005D0129">
        <w:rPr>
          <w:rFonts w:ascii="Times New Roman" w:hAnsi="Times New Roman" w:cs="Times New Roman"/>
          <w:sz w:val="28"/>
          <w:szCs w:val="28"/>
          <w:lang w:val="en-US"/>
        </w:rPr>
        <w:t xml:space="preserve">.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с</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экрана</w:t>
      </w:r>
      <w:r w:rsidRPr="005D0129">
        <w:rPr>
          <w:rFonts w:ascii="Times New Roman" w:hAnsi="Times New Roman" w:cs="Times New Roman"/>
          <w:sz w:val="28"/>
          <w:szCs w:val="28"/>
          <w:lang w:val="en-US"/>
        </w:rPr>
        <w:t>.</w:t>
      </w:r>
    </w:p>
    <w:p w:rsidR="00485C7F" w:rsidRPr="005D0129" w:rsidRDefault="00485C7F" w:rsidP="00485C7F">
      <w:pPr>
        <w:pStyle w:val="a3"/>
        <w:numPr>
          <w:ilvl w:val="0"/>
          <w:numId w:val="16"/>
        </w:numPr>
        <w:spacing w:line="240" w:lineRule="auto"/>
        <w:jc w:val="both"/>
        <w:rPr>
          <w:rFonts w:ascii="Times New Roman" w:hAnsi="Times New Roman" w:cs="Times New Roman"/>
          <w:sz w:val="28"/>
          <w:szCs w:val="28"/>
          <w:lang w:val="en-US"/>
        </w:rPr>
      </w:pPr>
      <w:r w:rsidRPr="005D0129">
        <w:rPr>
          <w:rFonts w:ascii="Times New Roman" w:hAnsi="Times New Roman" w:cs="Times New Roman"/>
          <w:sz w:val="28"/>
          <w:szCs w:val="28"/>
          <w:lang w:val="en-US"/>
        </w:rPr>
        <w:t>ROBERT L. KNAUSS. DISCLOSURE REQUIREMENTS—CHANGING CONCEPTS OF LIABILITY // The Business Lawyer. - Vol. 24. - No. 1 (</w:t>
      </w:r>
      <w:r w:rsidRPr="005D0129">
        <w:rPr>
          <w:rFonts w:ascii="Times New Roman" w:hAnsi="Times New Roman" w:cs="Times New Roman"/>
          <w:sz w:val="28"/>
          <w:szCs w:val="28"/>
        </w:rPr>
        <w:t>Ноябрь</w:t>
      </w:r>
      <w:r w:rsidRPr="005D0129">
        <w:rPr>
          <w:rFonts w:ascii="Times New Roman" w:hAnsi="Times New Roman" w:cs="Times New Roman"/>
          <w:sz w:val="28"/>
          <w:szCs w:val="28"/>
          <w:lang w:val="en-US"/>
        </w:rPr>
        <w:t xml:space="preserve">, 1968). – </w:t>
      </w:r>
      <w:proofErr w:type="spellStart"/>
      <w:proofErr w:type="gramStart"/>
      <w:r w:rsidRPr="005D0129">
        <w:rPr>
          <w:rFonts w:ascii="Times New Roman" w:hAnsi="Times New Roman" w:cs="Times New Roman"/>
          <w:sz w:val="28"/>
          <w:szCs w:val="28"/>
        </w:rPr>
        <w:t>стр</w:t>
      </w:r>
      <w:proofErr w:type="spellEnd"/>
      <w:proofErr w:type="gramEnd"/>
      <w:r w:rsidRPr="005D0129">
        <w:rPr>
          <w:rFonts w:ascii="Times New Roman" w:hAnsi="Times New Roman" w:cs="Times New Roman"/>
          <w:sz w:val="28"/>
          <w:szCs w:val="28"/>
          <w:lang w:val="en-US"/>
        </w:rPr>
        <w:t xml:space="preserve">. 43-61. - </w:t>
      </w:r>
      <w:r w:rsidRPr="005D0129">
        <w:rPr>
          <w:rFonts w:ascii="Times New Roman" w:hAnsi="Times New Roman" w:cs="Times New Roman"/>
          <w:sz w:val="28"/>
          <w:szCs w:val="28"/>
        </w:rPr>
        <w:t>Опубликовано</w:t>
      </w:r>
      <w:r w:rsidRPr="005D0129">
        <w:rPr>
          <w:rFonts w:ascii="Times New Roman" w:hAnsi="Times New Roman" w:cs="Times New Roman"/>
          <w:sz w:val="28"/>
          <w:szCs w:val="28"/>
          <w:lang w:val="en-US"/>
        </w:rPr>
        <w:t xml:space="preserve">: American Bar Association. – </w:t>
      </w:r>
      <w:r w:rsidRPr="005D0129">
        <w:rPr>
          <w:rFonts w:ascii="Times New Roman" w:hAnsi="Times New Roman" w:cs="Times New Roman"/>
          <w:sz w:val="28"/>
          <w:szCs w:val="28"/>
        </w:rPr>
        <w:t>Режим</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доступа</w:t>
      </w:r>
      <w:r w:rsidRPr="005D0129">
        <w:rPr>
          <w:rFonts w:ascii="Times New Roman" w:hAnsi="Times New Roman" w:cs="Times New Roman"/>
          <w:sz w:val="28"/>
          <w:szCs w:val="28"/>
          <w:lang w:val="en-US"/>
        </w:rPr>
        <w:t xml:space="preserve">: http://www.jstor.org/stable/40684892, </w:t>
      </w:r>
      <w:r w:rsidRPr="005D0129">
        <w:rPr>
          <w:rFonts w:ascii="Times New Roman" w:hAnsi="Times New Roman" w:cs="Times New Roman"/>
          <w:sz w:val="28"/>
          <w:szCs w:val="28"/>
        </w:rPr>
        <w:t>платный</w:t>
      </w:r>
      <w:r w:rsidRPr="005D0129">
        <w:rPr>
          <w:rFonts w:ascii="Times New Roman" w:hAnsi="Times New Roman" w:cs="Times New Roman"/>
          <w:sz w:val="28"/>
          <w:szCs w:val="28"/>
          <w:lang w:val="en-US"/>
        </w:rPr>
        <w:t xml:space="preserve">.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с</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экрана</w:t>
      </w:r>
      <w:r w:rsidRPr="005D0129">
        <w:rPr>
          <w:rFonts w:ascii="Times New Roman" w:hAnsi="Times New Roman" w:cs="Times New Roman"/>
          <w:sz w:val="28"/>
          <w:szCs w:val="28"/>
          <w:lang w:val="en-US"/>
        </w:rPr>
        <w:t>.</w:t>
      </w:r>
    </w:p>
    <w:p w:rsidR="00485C7F" w:rsidRPr="005D0129" w:rsidRDefault="00485C7F" w:rsidP="00485C7F">
      <w:pPr>
        <w:pStyle w:val="a3"/>
        <w:numPr>
          <w:ilvl w:val="0"/>
          <w:numId w:val="16"/>
        </w:numPr>
        <w:spacing w:line="240" w:lineRule="auto"/>
        <w:jc w:val="both"/>
        <w:rPr>
          <w:rFonts w:ascii="Times New Roman" w:hAnsi="Times New Roman" w:cs="Times New Roman"/>
          <w:sz w:val="28"/>
          <w:szCs w:val="28"/>
          <w:lang w:val="en-US"/>
        </w:rPr>
      </w:pPr>
      <w:r w:rsidRPr="005D0129">
        <w:rPr>
          <w:rFonts w:ascii="Times New Roman" w:hAnsi="Times New Roman" w:cs="Times New Roman"/>
          <w:sz w:val="28"/>
          <w:szCs w:val="28"/>
          <w:lang w:val="en-US"/>
        </w:rPr>
        <w:t xml:space="preserve">The securities enforcement manual: tactics and strategies / contributing authors, Nicole A. Baker … [et al.]; edited by Kirkpatrick &amp; Lockhart LLP. – 2nd </w:t>
      </w:r>
      <w:proofErr w:type="gramStart"/>
      <w:r w:rsidRPr="005D0129">
        <w:rPr>
          <w:rFonts w:ascii="Times New Roman" w:hAnsi="Times New Roman" w:cs="Times New Roman"/>
          <w:sz w:val="28"/>
          <w:szCs w:val="28"/>
          <w:lang w:val="en-US"/>
        </w:rPr>
        <w:t>ed</w:t>
      </w:r>
      <w:proofErr w:type="gramEnd"/>
      <w:r w:rsidRPr="005D0129">
        <w:rPr>
          <w:rFonts w:ascii="Times New Roman" w:hAnsi="Times New Roman" w:cs="Times New Roman"/>
          <w:sz w:val="28"/>
          <w:szCs w:val="28"/>
          <w:lang w:val="en-US"/>
        </w:rPr>
        <w:t>.</w:t>
      </w:r>
    </w:p>
    <w:p w:rsidR="00485C7F" w:rsidRPr="005D0129" w:rsidRDefault="00485C7F" w:rsidP="00485C7F">
      <w:pPr>
        <w:pStyle w:val="a3"/>
        <w:numPr>
          <w:ilvl w:val="0"/>
          <w:numId w:val="16"/>
        </w:numPr>
        <w:spacing w:line="240" w:lineRule="auto"/>
        <w:jc w:val="both"/>
        <w:rPr>
          <w:rFonts w:ascii="Times New Roman" w:hAnsi="Times New Roman" w:cs="Times New Roman"/>
          <w:sz w:val="28"/>
          <w:szCs w:val="28"/>
          <w:lang w:val="en-US"/>
        </w:rPr>
      </w:pPr>
      <w:r w:rsidRPr="005D0129">
        <w:rPr>
          <w:rFonts w:ascii="Times New Roman" w:hAnsi="Times New Roman" w:cs="Times New Roman"/>
          <w:sz w:val="28"/>
          <w:szCs w:val="28"/>
          <w:lang w:val="en-US"/>
        </w:rPr>
        <w:t xml:space="preserve">The Securities Exchange Act of 1934: Analyzed and Explained. Charles Harrison Meyer - 1934 - </w:t>
      </w:r>
      <w:r w:rsidRPr="005D0129">
        <w:rPr>
          <w:rFonts w:ascii="Times New Roman" w:hAnsi="Times New Roman" w:cs="Times New Roman"/>
          <w:sz w:val="28"/>
          <w:szCs w:val="28"/>
        </w:rPr>
        <w:t>Страниц</w:t>
      </w:r>
      <w:r w:rsidRPr="005D0129">
        <w:rPr>
          <w:rFonts w:ascii="Times New Roman" w:hAnsi="Times New Roman" w:cs="Times New Roman"/>
          <w:sz w:val="28"/>
          <w:szCs w:val="28"/>
          <w:lang w:val="en-US"/>
        </w:rPr>
        <w:t xml:space="preserve">: 251. Contains two parts; Part I, the Securities Exchange Act of 1934 (Fletcher-Rayburn Act); &amp; Part II, the Securities Act of 1933, as amended in 1934. Each part contains both a summary of the related Act as well as a detailed, section by section analysis. </w:t>
      </w:r>
    </w:p>
    <w:p w:rsidR="00485C7F" w:rsidRPr="005D0129" w:rsidRDefault="00485C7F" w:rsidP="00485C7F">
      <w:pPr>
        <w:pStyle w:val="a3"/>
        <w:numPr>
          <w:ilvl w:val="0"/>
          <w:numId w:val="16"/>
        </w:numPr>
        <w:spacing w:line="240" w:lineRule="auto"/>
        <w:jc w:val="both"/>
        <w:rPr>
          <w:rFonts w:ascii="Times New Roman" w:hAnsi="Times New Roman" w:cs="Times New Roman"/>
          <w:sz w:val="28"/>
          <w:szCs w:val="28"/>
          <w:lang w:val="en-US"/>
        </w:rPr>
      </w:pPr>
      <w:r w:rsidRPr="005D0129">
        <w:rPr>
          <w:rFonts w:ascii="Times New Roman" w:hAnsi="Times New Roman" w:cs="Times New Roman"/>
          <w:sz w:val="28"/>
          <w:szCs w:val="28"/>
          <w:lang w:val="en-US"/>
        </w:rPr>
        <w:t>Thomas Lee Hazen</w:t>
      </w:r>
      <w:proofErr w:type="gramStart"/>
      <w:r w:rsidRPr="005D0129">
        <w:rPr>
          <w:rFonts w:ascii="Times New Roman" w:hAnsi="Times New Roman" w:cs="Times New Roman"/>
          <w:sz w:val="28"/>
          <w:szCs w:val="28"/>
          <w:lang w:val="en-US"/>
        </w:rPr>
        <w:t>,  Cary</w:t>
      </w:r>
      <w:proofErr w:type="gramEnd"/>
      <w:r w:rsidRPr="005D0129">
        <w:rPr>
          <w:rFonts w:ascii="Times New Roman" w:hAnsi="Times New Roman" w:cs="Times New Roman"/>
          <w:sz w:val="28"/>
          <w:szCs w:val="28"/>
          <w:lang w:val="en-US"/>
        </w:rPr>
        <w:t xml:space="preserve"> C. </w:t>
      </w:r>
      <w:proofErr w:type="spellStart"/>
      <w:r w:rsidRPr="005D0129">
        <w:rPr>
          <w:rFonts w:ascii="Times New Roman" w:hAnsi="Times New Roman" w:cs="Times New Roman"/>
          <w:sz w:val="28"/>
          <w:szCs w:val="28"/>
          <w:lang w:val="en-US"/>
        </w:rPr>
        <w:t>Boshamer</w:t>
      </w:r>
      <w:proofErr w:type="spellEnd"/>
      <w:r w:rsidRPr="005D0129">
        <w:rPr>
          <w:rFonts w:ascii="Times New Roman" w:hAnsi="Times New Roman" w:cs="Times New Roman"/>
          <w:sz w:val="28"/>
          <w:szCs w:val="28"/>
          <w:lang w:val="en-US"/>
        </w:rPr>
        <w:t xml:space="preserve"> Distinguished Professor of Law. Federal Securities Law. - The University of North Carolina at Chapel Hill School of Law</w:t>
      </w:r>
      <w:proofErr w:type="gramStart"/>
      <w:r w:rsidRPr="005D0129">
        <w:rPr>
          <w:rFonts w:ascii="Times New Roman" w:hAnsi="Times New Roman" w:cs="Times New Roman"/>
          <w:sz w:val="28"/>
          <w:szCs w:val="28"/>
          <w:lang w:val="en-US"/>
        </w:rPr>
        <w:t>.-</w:t>
      </w:r>
      <w:proofErr w:type="gramEnd"/>
      <w:r w:rsidRPr="005D0129">
        <w:rPr>
          <w:rFonts w:ascii="Times New Roman" w:hAnsi="Times New Roman" w:cs="Times New Roman"/>
          <w:sz w:val="28"/>
          <w:szCs w:val="28"/>
          <w:lang w:val="en-US"/>
        </w:rPr>
        <w:t xml:space="preserve"> Second Edition.</w:t>
      </w:r>
    </w:p>
    <w:p w:rsidR="00485C7F" w:rsidRPr="005D0129" w:rsidRDefault="00485C7F" w:rsidP="00485C7F">
      <w:pPr>
        <w:pStyle w:val="a3"/>
        <w:numPr>
          <w:ilvl w:val="0"/>
          <w:numId w:val="16"/>
        </w:numPr>
        <w:spacing w:line="240" w:lineRule="auto"/>
        <w:jc w:val="both"/>
        <w:rPr>
          <w:rFonts w:ascii="Times New Roman" w:hAnsi="Times New Roman" w:cs="Times New Roman"/>
          <w:sz w:val="28"/>
          <w:szCs w:val="28"/>
        </w:rPr>
      </w:pPr>
      <w:proofErr w:type="spellStart"/>
      <w:r w:rsidRPr="005D0129">
        <w:rPr>
          <w:rFonts w:ascii="Times New Roman" w:hAnsi="Times New Roman" w:cs="Times New Roman"/>
          <w:sz w:val="28"/>
          <w:szCs w:val="28"/>
        </w:rPr>
        <w:t>Бахрах</w:t>
      </w:r>
      <w:proofErr w:type="spellEnd"/>
      <w:r w:rsidRPr="005D0129">
        <w:rPr>
          <w:rFonts w:ascii="Times New Roman" w:hAnsi="Times New Roman" w:cs="Times New Roman"/>
          <w:sz w:val="28"/>
          <w:szCs w:val="28"/>
        </w:rPr>
        <w:t xml:space="preserve"> Д. Н., </w:t>
      </w:r>
      <w:proofErr w:type="spellStart"/>
      <w:r w:rsidRPr="005D0129">
        <w:rPr>
          <w:rFonts w:ascii="Times New Roman" w:hAnsi="Times New Roman" w:cs="Times New Roman"/>
          <w:sz w:val="28"/>
          <w:szCs w:val="28"/>
        </w:rPr>
        <w:t>Россинский</w:t>
      </w:r>
      <w:proofErr w:type="spellEnd"/>
      <w:r w:rsidRPr="005D0129">
        <w:rPr>
          <w:rFonts w:ascii="Times New Roman" w:hAnsi="Times New Roman" w:cs="Times New Roman"/>
          <w:sz w:val="28"/>
          <w:szCs w:val="28"/>
        </w:rPr>
        <w:t xml:space="preserve"> Б. В., </w:t>
      </w:r>
      <w:proofErr w:type="spellStart"/>
      <w:r w:rsidRPr="005D0129">
        <w:rPr>
          <w:rFonts w:ascii="Times New Roman" w:hAnsi="Times New Roman" w:cs="Times New Roman"/>
          <w:sz w:val="28"/>
          <w:szCs w:val="28"/>
        </w:rPr>
        <w:t>Старилов</w:t>
      </w:r>
      <w:proofErr w:type="spellEnd"/>
      <w:r w:rsidRPr="005D0129">
        <w:rPr>
          <w:rFonts w:ascii="Times New Roman" w:hAnsi="Times New Roman" w:cs="Times New Roman"/>
          <w:sz w:val="28"/>
          <w:szCs w:val="28"/>
        </w:rPr>
        <w:t xml:space="preserve"> Ю. Н. Административное право: Учебник для вузов. — 3-е изд., пересмотр, и доп. — М.: Норма, 2007. </w:t>
      </w:r>
    </w:p>
    <w:p w:rsidR="00485C7F" w:rsidRPr="005D0129" w:rsidRDefault="00485C7F" w:rsidP="00485C7F">
      <w:pPr>
        <w:pStyle w:val="a3"/>
        <w:numPr>
          <w:ilvl w:val="0"/>
          <w:numId w:val="16"/>
        </w:numPr>
        <w:spacing w:line="240" w:lineRule="auto"/>
        <w:jc w:val="both"/>
        <w:rPr>
          <w:rFonts w:ascii="Times New Roman" w:hAnsi="Times New Roman" w:cs="Times New Roman"/>
          <w:sz w:val="28"/>
          <w:szCs w:val="28"/>
        </w:rPr>
      </w:pPr>
      <w:proofErr w:type="spellStart"/>
      <w:r w:rsidRPr="005D0129">
        <w:rPr>
          <w:rFonts w:ascii="Times New Roman" w:hAnsi="Times New Roman" w:cs="Times New Roman"/>
          <w:sz w:val="28"/>
          <w:szCs w:val="28"/>
        </w:rPr>
        <w:t>Вавулин</w:t>
      </w:r>
      <w:proofErr w:type="spellEnd"/>
      <w:r w:rsidRPr="005D0129">
        <w:rPr>
          <w:rFonts w:ascii="Times New Roman" w:hAnsi="Times New Roman" w:cs="Times New Roman"/>
          <w:sz w:val="28"/>
          <w:szCs w:val="28"/>
        </w:rPr>
        <w:t xml:space="preserve"> Д.А. Раскрытие информации акционерными обществами. </w:t>
      </w:r>
      <w:proofErr w:type="spellStart"/>
      <w:r w:rsidRPr="005D0129">
        <w:rPr>
          <w:rFonts w:ascii="Times New Roman" w:hAnsi="Times New Roman" w:cs="Times New Roman"/>
          <w:sz w:val="28"/>
          <w:szCs w:val="28"/>
        </w:rPr>
        <w:t>Юстицинформ</w:t>
      </w:r>
      <w:proofErr w:type="spellEnd"/>
      <w:r w:rsidRPr="005D0129">
        <w:rPr>
          <w:rFonts w:ascii="Times New Roman" w:hAnsi="Times New Roman" w:cs="Times New Roman"/>
          <w:sz w:val="28"/>
          <w:szCs w:val="28"/>
        </w:rPr>
        <w:t>, 2012.</w:t>
      </w:r>
    </w:p>
    <w:p w:rsidR="00485C7F" w:rsidRPr="005D0129" w:rsidRDefault="00485C7F" w:rsidP="00485C7F">
      <w:pPr>
        <w:pStyle w:val="a3"/>
        <w:numPr>
          <w:ilvl w:val="0"/>
          <w:numId w:val="16"/>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Гражданское право: В 4 т. Том 1: Обязательственное право: Учебник. 3-е издание, переработанное и дополненное. Под ред. Е.А.Суханова. М. </w:t>
      </w:r>
      <w:proofErr w:type="spellStart"/>
      <w:r w:rsidRPr="005D0129">
        <w:rPr>
          <w:rFonts w:ascii="Times New Roman" w:hAnsi="Times New Roman" w:cs="Times New Roman"/>
          <w:sz w:val="28"/>
          <w:szCs w:val="28"/>
        </w:rPr>
        <w:t>Волтерс</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Клувер</w:t>
      </w:r>
      <w:proofErr w:type="spellEnd"/>
      <w:r w:rsidRPr="005D0129">
        <w:rPr>
          <w:rFonts w:ascii="Times New Roman" w:hAnsi="Times New Roman" w:cs="Times New Roman"/>
          <w:sz w:val="28"/>
          <w:szCs w:val="28"/>
        </w:rPr>
        <w:t>, 2008</w:t>
      </w:r>
    </w:p>
    <w:p w:rsidR="00485C7F" w:rsidRPr="005D0129" w:rsidRDefault="00485C7F" w:rsidP="00485C7F">
      <w:pPr>
        <w:pStyle w:val="a3"/>
        <w:numPr>
          <w:ilvl w:val="0"/>
          <w:numId w:val="16"/>
        </w:numPr>
        <w:spacing w:line="240" w:lineRule="auto"/>
        <w:jc w:val="both"/>
        <w:rPr>
          <w:rFonts w:ascii="Times New Roman" w:hAnsi="Times New Roman" w:cs="Times New Roman"/>
          <w:sz w:val="28"/>
          <w:szCs w:val="28"/>
        </w:rPr>
      </w:pPr>
      <w:proofErr w:type="spellStart"/>
      <w:r w:rsidRPr="005D0129">
        <w:rPr>
          <w:rFonts w:ascii="Times New Roman" w:hAnsi="Times New Roman" w:cs="Times New Roman"/>
          <w:sz w:val="28"/>
          <w:szCs w:val="28"/>
        </w:rPr>
        <w:t>Райзберг</w:t>
      </w:r>
      <w:proofErr w:type="spellEnd"/>
      <w:r w:rsidRPr="005D0129">
        <w:rPr>
          <w:rFonts w:ascii="Times New Roman" w:hAnsi="Times New Roman" w:cs="Times New Roman"/>
          <w:sz w:val="28"/>
          <w:szCs w:val="28"/>
        </w:rPr>
        <w:t xml:space="preserve"> Б.А., Лозовский Л.Ш., Стародубцева Е.Б. Современный экономический словарь. ИНФРА-М, 2006. </w:t>
      </w:r>
    </w:p>
    <w:p w:rsidR="00485C7F" w:rsidRPr="005D0129" w:rsidRDefault="00485C7F" w:rsidP="00485C7F">
      <w:pPr>
        <w:pStyle w:val="a3"/>
        <w:numPr>
          <w:ilvl w:val="0"/>
          <w:numId w:val="16"/>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Сергеев А.П. (ред.), Толстой Ю.К. (ред.) Гражданское право. Учебник: в 3 т. Том 1. — 6-е изд., </w:t>
      </w:r>
      <w:proofErr w:type="spellStart"/>
      <w:r w:rsidRPr="005D0129">
        <w:rPr>
          <w:rFonts w:ascii="Times New Roman" w:hAnsi="Times New Roman" w:cs="Times New Roman"/>
          <w:sz w:val="28"/>
          <w:szCs w:val="28"/>
        </w:rPr>
        <w:t>перераб</w:t>
      </w:r>
      <w:proofErr w:type="spellEnd"/>
      <w:r w:rsidRPr="005D0129">
        <w:rPr>
          <w:rFonts w:ascii="Times New Roman" w:hAnsi="Times New Roman" w:cs="Times New Roman"/>
          <w:sz w:val="28"/>
          <w:szCs w:val="28"/>
        </w:rPr>
        <w:t>. и доп. — М.</w:t>
      </w:r>
      <w:proofErr w:type="gramStart"/>
      <w:r w:rsidRPr="005D0129">
        <w:rPr>
          <w:rFonts w:ascii="Times New Roman" w:hAnsi="Times New Roman" w:cs="Times New Roman"/>
          <w:sz w:val="28"/>
          <w:szCs w:val="28"/>
        </w:rPr>
        <w:t xml:space="preserve"> :</w:t>
      </w:r>
      <w:proofErr w:type="gramEnd"/>
      <w:r w:rsidRPr="005D0129">
        <w:rPr>
          <w:rFonts w:ascii="Times New Roman" w:hAnsi="Times New Roman" w:cs="Times New Roman"/>
          <w:sz w:val="28"/>
          <w:szCs w:val="28"/>
        </w:rPr>
        <w:t xml:space="preserve"> ТК </w:t>
      </w:r>
      <w:proofErr w:type="spellStart"/>
      <w:r w:rsidRPr="005D0129">
        <w:rPr>
          <w:rFonts w:ascii="Times New Roman" w:hAnsi="Times New Roman" w:cs="Times New Roman"/>
          <w:sz w:val="28"/>
          <w:szCs w:val="28"/>
        </w:rPr>
        <w:t>Велби</w:t>
      </w:r>
      <w:proofErr w:type="spellEnd"/>
      <w:r w:rsidRPr="005D0129">
        <w:rPr>
          <w:rFonts w:ascii="Times New Roman" w:hAnsi="Times New Roman" w:cs="Times New Roman"/>
          <w:sz w:val="28"/>
          <w:szCs w:val="28"/>
        </w:rPr>
        <w:t>, Изд-во Проспект, 2005. — 776 с.</w:t>
      </w:r>
    </w:p>
    <w:p w:rsidR="00485C7F" w:rsidRPr="005D0129" w:rsidRDefault="00485C7F" w:rsidP="00485C7F">
      <w:pPr>
        <w:spacing w:line="240" w:lineRule="auto"/>
        <w:jc w:val="both"/>
        <w:rPr>
          <w:rFonts w:ascii="Times New Roman" w:hAnsi="Times New Roman" w:cs="Times New Roman"/>
          <w:b/>
          <w:sz w:val="28"/>
          <w:szCs w:val="28"/>
          <w:u w:val="single"/>
        </w:rPr>
      </w:pPr>
      <w:r w:rsidRPr="005D0129">
        <w:rPr>
          <w:rFonts w:ascii="Times New Roman" w:hAnsi="Times New Roman" w:cs="Times New Roman"/>
          <w:b/>
          <w:sz w:val="28"/>
          <w:szCs w:val="28"/>
          <w:u w:val="single"/>
        </w:rPr>
        <w:t>Научные статьи</w:t>
      </w:r>
    </w:p>
    <w:p w:rsidR="00485C7F" w:rsidRPr="005D0129" w:rsidRDefault="00485C7F" w:rsidP="00485C7F">
      <w:pPr>
        <w:pStyle w:val="a3"/>
        <w:numPr>
          <w:ilvl w:val="0"/>
          <w:numId w:val="17"/>
        </w:numPr>
        <w:spacing w:line="240" w:lineRule="auto"/>
        <w:jc w:val="both"/>
        <w:rPr>
          <w:rFonts w:ascii="Times New Roman" w:hAnsi="Times New Roman" w:cs="Times New Roman"/>
          <w:sz w:val="28"/>
          <w:szCs w:val="28"/>
          <w:lang w:val="en-US"/>
        </w:rPr>
      </w:pPr>
      <w:r w:rsidRPr="005D0129">
        <w:rPr>
          <w:rFonts w:ascii="Times New Roman" w:hAnsi="Times New Roman" w:cs="Times New Roman"/>
          <w:sz w:val="28"/>
          <w:szCs w:val="28"/>
          <w:lang w:val="en-US"/>
        </w:rPr>
        <w:t xml:space="preserve">David B.H. Martin и Graham Robinson. Securities disclosure. // Insights. - </w:t>
      </w:r>
      <w:proofErr w:type="spellStart"/>
      <w:r w:rsidRPr="005D0129">
        <w:rPr>
          <w:rFonts w:ascii="Times New Roman" w:hAnsi="Times New Roman" w:cs="Times New Roman"/>
          <w:sz w:val="28"/>
          <w:szCs w:val="28"/>
          <w:lang w:val="en-US"/>
        </w:rPr>
        <w:t>Vol</w:t>
      </w:r>
      <w:proofErr w:type="spellEnd"/>
      <w:r w:rsidRPr="005D0129">
        <w:rPr>
          <w:rFonts w:ascii="Times New Roman" w:hAnsi="Times New Roman" w:cs="Times New Roman"/>
          <w:sz w:val="28"/>
          <w:szCs w:val="28"/>
          <w:lang w:val="en-US"/>
        </w:rPr>
        <w:t xml:space="preserve"> 17. - No 9. – </w:t>
      </w:r>
      <w:proofErr w:type="spellStart"/>
      <w:r w:rsidRPr="005D0129">
        <w:rPr>
          <w:rFonts w:ascii="Times New Roman" w:hAnsi="Times New Roman" w:cs="Times New Roman"/>
          <w:sz w:val="28"/>
          <w:szCs w:val="28"/>
          <w:lang w:val="en-US"/>
        </w:rPr>
        <w:t>Сентябрь</w:t>
      </w:r>
      <w:proofErr w:type="spellEnd"/>
      <w:r w:rsidRPr="005D0129">
        <w:rPr>
          <w:rFonts w:ascii="Times New Roman" w:hAnsi="Times New Roman" w:cs="Times New Roman"/>
          <w:sz w:val="28"/>
          <w:szCs w:val="28"/>
          <w:lang w:val="en-US"/>
        </w:rPr>
        <w:t>, 2003.</w:t>
      </w:r>
    </w:p>
    <w:p w:rsidR="00485C7F" w:rsidRPr="005D0129" w:rsidRDefault="00485C7F" w:rsidP="00485C7F">
      <w:pPr>
        <w:pStyle w:val="a3"/>
        <w:numPr>
          <w:ilvl w:val="0"/>
          <w:numId w:val="17"/>
        </w:numPr>
        <w:spacing w:line="240" w:lineRule="auto"/>
        <w:jc w:val="both"/>
        <w:rPr>
          <w:rFonts w:ascii="Times New Roman" w:hAnsi="Times New Roman" w:cs="Times New Roman"/>
          <w:sz w:val="28"/>
          <w:szCs w:val="28"/>
          <w:lang w:val="en-US"/>
        </w:rPr>
      </w:pPr>
      <w:r w:rsidRPr="005D0129">
        <w:rPr>
          <w:rFonts w:ascii="Times New Roman" w:hAnsi="Times New Roman" w:cs="Times New Roman"/>
          <w:sz w:val="28"/>
          <w:szCs w:val="28"/>
          <w:lang w:val="en-US"/>
        </w:rPr>
        <w:lastRenderedPageBreak/>
        <w:t xml:space="preserve">David B.H. Martin и Graham Robinson. Securities disclosure. // Insights. - </w:t>
      </w:r>
      <w:proofErr w:type="spellStart"/>
      <w:r w:rsidRPr="005D0129">
        <w:rPr>
          <w:rFonts w:ascii="Times New Roman" w:hAnsi="Times New Roman" w:cs="Times New Roman"/>
          <w:sz w:val="28"/>
          <w:szCs w:val="28"/>
          <w:lang w:val="en-US"/>
        </w:rPr>
        <w:t>Vol</w:t>
      </w:r>
      <w:proofErr w:type="spellEnd"/>
      <w:r w:rsidRPr="005D0129">
        <w:rPr>
          <w:rFonts w:ascii="Times New Roman" w:hAnsi="Times New Roman" w:cs="Times New Roman"/>
          <w:sz w:val="28"/>
          <w:szCs w:val="28"/>
          <w:lang w:val="en-US"/>
        </w:rPr>
        <w:t xml:space="preserve"> 17. - No 9. – </w:t>
      </w:r>
      <w:proofErr w:type="spellStart"/>
      <w:r w:rsidRPr="005D0129">
        <w:rPr>
          <w:rFonts w:ascii="Times New Roman" w:hAnsi="Times New Roman" w:cs="Times New Roman"/>
          <w:sz w:val="28"/>
          <w:szCs w:val="28"/>
          <w:lang w:val="en-US"/>
        </w:rPr>
        <w:t>Сентябрь</w:t>
      </w:r>
      <w:proofErr w:type="spellEnd"/>
      <w:r w:rsidRPr="005D0129">
        <w:rPr>
          <w:rFonts w:ascii="Times New Roman" w:hAnsi="Times New Roman" w:cs="Times New Roman"/>
          <w:sz w:val="28"/>
          <w:szCs w:val="28"/>
          <w:lang w:val="en-US"/>
        </w:rPr>
        <w:t>, 2003.</w:t>
      </w:r>
    </w:p>
    <w:p w:rsidR="00485C7F" w:rsidRPr="005D0129" w:rsidRDefault="00485C7F" w:rsidP="00485C7F">
      <w:pPr>
        <w:pStyle w:val="a3"/>
        <w:numPr>
          <w:ilvl w:val="0"/>
          <w:numId w:val="17"/>
        </w:numPr>
        <w:spacing w:line="240" w:lineRule="auto"/>
        <w:jc w:val="both"/>
        <w:rPr>
          <w:rFonts w:ascii="Times New Roman" w:hAnsi="Times New Roman" w:cs="Times New Roman"/>
          <w:sz w:val="28"/>
          <w:szCs w:val="28"/>
          <w:lang w:val="en-US"/>
        </w:rPr>
      </w:pPr>
      <w:proofErr w:type="spellStart"/>
      <w:r w:rsidRPr="005D0129">
        <w:rPr>
          <w:rFonts w:ascii="Times New Roman" w:hAnsi="Times New Roman" w:cs="Times New Roman"/>
          <w:sz w:val="28"/>
          <w:szCs w:val="28"/>
          <w:lang w:val="en-US"/>
        </w:rPr>
        <w:t>Fahad</w:t>
      </w:r>
      <w:proofErr w:type="spellEnd"/>
      <w:r w:rsidRPr="005D0129">
        <w:rPr>
          <w:rFonts w:ascii="Times New Roman" w:hAnsi="Times New Roman" w:cs="Times New Roman"/>
          <w:sz w:val="28"/>
          <w:szCs w:val="28"/>
          <w:lang w:val="en-US"/>
        </w:rPr>
        <w:t xml:space="preserve"> Al-</w:t>
      </w:r>
      <w:proofErr w:type="spellStart"/>
      <w:r w:rsidRPr="005D0129">
        <w:rPr>
          <w:rFonts w:ascii="Times New Roman" w:hAnsi="Times New Roman" w:cs="Times New Roman"/>
          <w:sz w:val="28"/>
          <w:szCs w:val="28"/>
          <w:lang w:val="en-US"/>
        </w:rPr>
        <w:t>Zumai</w:t>
      </w:r>
      <w:proofErr w:type="spellEnd"/>
      <w:r w:rsidRPr="005D0129">
        <w:rPr>
          <w:rFonts w:ascii="Times New Roman" w:hAnsi="Times New Roman" w:cs="Times New Roman"/>
          <w:sz w:val="28"/>
          <w:szCs w:val="28"/>
          <w:lang w:val="en-US"/>
        </w:rPr>
        <w:t xml:space="preserve">. Comparative Study of the Legal Framework of Securities Disclosure Requirements in Kuwait and the U.S. // Arab Law Quarterly. - Vol. 21. - No. 3 (2007). - </w:t>
      </w:r>
      <w:proofErr w:type="spellStart"/>
      <w:proofErr w:type="gramStart"/>
      <w:r w:rsidRPr="005D0129">
        <w:rPr>
          <w:rFonts w:ascii="Times New Roman" w:hAnsi="Times New Roman" w:cs="Times New Roman"/>
          <w:sz w:val="28"/>
          <w:szCs w:val="28"/>
          <w:lang w:val="en-US"/>
        </w:rPr>
        <w:t>стр</w:t>
      </w:r>
      <w:proofErr w:type="spellEnd"/>
      <w:proofErr w:type="gramEnd"/>
      <w:r w:rsidRPr="005D0129">
        <w:rPr>
          <w:rFonts w:ascii="Times New Roman" w:hAnsi="Times New Roman" w:cs="Times New Roman"/>
          <w:sz w:val="28"/>
          <w:szCs w:val="28"/>
          <w:lang w:val="en-US"/>
        </w:rPr>
        <w:t xml:space="preserve">. 230-250. – </w:t>
      </w:r>
      <w:proofErr w:type="spellStart"/>
      <w:r w:rsidRPr="005D0129">
        <w:rPr>
          <w:rFonts w:ascii="Times New Roman" w:hAnsi="Times New Roman" w:cs="Times New Roman"/>
          <w:sz w:val="28"/>
          <w:szCs w:val="28"/>
          <w:lang w:val="en-US"/>
        </w:rPr>
        <w:t>Опубликовано</w:t>
      </w:r>
      <w:proofErr w:type="spellEnd"/>
      <w:r w:rsidRPr="005D0129">
        <w:rPr>
          <w:rFonts w:ascii="Times New Roman" w:hAnsi="Times New Roman" w:cs="Times New Roman"/>
          <w:sz w:val="28"/>
          <w:szCs w:val="28"/>
          <w:lang w:val="en-US"/>
        </w:rPr>
        <w:t xml:space="preserve">: BRILL. – </w:t>
      </w:r>
      <w:proofErr w:type="spellStart"/>
      <w:r w:rsidRPr="005D0129">
        <w:rPr>
          <w:rFonts w:ascii="Times New Roman" w:hAnsi="Times New Roman" w:cs="Times New Roman"/>
          <w:sz w:val="28"/>
          <w:szCs w:val="28"/>
          <w:lang w:val="en-US"/>
        </w:rPr>
        <w:t>Режим</w:t>
      </w:r>
      <w:proofErr w:type="spellEnd"/>
      <w:r w:rsidRPr="005D0129">
        <w:rPr>
          <w:rFonts w:ascii="Times New Roman" w:hAnsi="Times New Roman" w:cs="Times New Roman"/>
          <w:sz w:val="28"/>
          <w:szCs w:val="28"/>
          <w:lang w:val="en-US"/>
        </w:rPr>
        <w:t xml:space="preserve"> </w:t>
      </w:r>
      <w:proofErr w:type="spellStart"/>
      <w:r w:rsidRPr="005D0129">
        <w:rPr>
          <w:rFonts w:ascii="Times New Roman" w:hAnsi="Times New Roman" w:cs="Times New Roman"/>
          <w:sz w:val="28"/>
          <w:szCs w:val="28"/>
          <w:lang w:val="en-US"/>
        </w:rPr>
        <w:t>доступа</w:t>
      </w:r>
      <w:proofErr w:type="spellEnd"/>
      <w:r w:rsidRPr="005D0129">
        <w:rPr>
          <w:rFonts w:ascii="Times New Roman" w:hAnsi="Times New Roman" w:cs="Times New Roman"/>
          <w:sz w:val="28"/>
          <w:szCs w:val="28"/>
          <w:lang w:val="en-US"/>
        </w:rPr>
        <w:t xml:space="preserve">: http://www.jstor.org/stable/27650588, </w:t>
      </w:r>
      <w:proofErr w:type="spellStart"/>
      <w:r w:rsidRPr="005D0129">
        <w:rPr>
          <w:rFonts w:ascii="Times New Roman" w:hAnsi="Times New Roman" w:cs="Times New Roman"/>
          <w:sz w:val="28"/>
          <w:szCs w:val="28"/>
          <w:lang w:val="en-US"/>
        </w:rPr>
        <w:t>платный</w:t>
      </w:r>
      <w:proofErr w:type="spellEnd"/>
      <w:r w:rsidRPr="005D0129">
        <w:rPr>
          <w:rFonts w:ascii="Times New Roman" w:hAnsi="Times New Roman" w:cs="Times New Roman"/>
          <w:sz w:val="28"/>
          <w:szCs w:val="28"/>
          <w:lang w:val="en-US"/>
        </w:rPr>
        <w:t xml:space="preserve">. – </w:t>
      </w:r>
      <w:proofErr w:type="spellStart"/>
      <w:r w:rsidRPr="005D0129">
        <w:rPr>
          <w:rFonts w:ascii="Times New Roman" w:hAnsi="Times New Roman" w:cs="Times New Roman"/>
          <w:sz w:val="28"/>
          <w:szCs w:val="28"/>
          <w:lang w:val="en-US"/>
        </w:rPr>
        <w:t>Загл</w:t>
      </w:r>
      <w:proofErr w:type="spellEnd"/>
      <w:r w:rsidRPr="005D0129">
        <w:rPr>
          <w:rFonts w:ascii="Times New Roman" w:hAnsi="Times New Roman" w:cs="Times New Roman"/>
          <w:sz w:val="28"/>
          <w:szCs w:val="28"/>
          <w:lang w:val="en-US"/>
        </w:rPr>
        <w:t xml:space="preserve">. с </w:t>
      </w:r>
      <w:proofErr w:type="spellStart"/>
      <w:r w:rsidRPr="005D0129">
        <w:rPr>
          <w:rFonts w:ascii="Times New Roman" w:hAnsi="Times New Roman" w:cs="Times New Roman"/>
          <w:sz w:val="28"/>
          <w:szCs w:val="28"/>
          <w:lang w:val="en-US"/>
        </w:rPr>
        <w:t>экрана</w:t>
      </w:r>
      <w:proofErr w:type="spellEnd"/>
      <w:r w:rsidRPr="005D0129">
        <w:rPr>
          <w:rFonts w:ascii="Times New Roman" w:hAnsi="Times New Roman" w:cs="Times New Roman"/>
          <w:sz w:val="28"/>
          <w:szCs w:val="28"/>
          <w:lang w:val="en-US"/>
        </w:rPr>
        <w:t xml:space="preserve">.   </w:t>
      </w:r>
    </w:p>
    <w:p w:rsidR="00485C7F" w:rsidRPr="005D0129" w:rsidRDefault="00485C7F" w:rsidP="00485C7F">
      <w:pPr>
        <w:pStyle w:val="a3"/>
        <w:numPr>
          <w:ilvl w:val="0"/>
          <w:numId w:val="17"/>
        </w:numPr>
        <w:spacing w:line="240" w:lineRule="auto"/>
        <w:jc w:val="both"/>
        <w:rPr>
          <w:rFonts w:ascii="Times New Roman" w:hAnsi="Times New Roman" w:cs="Times New Roman"/>
          <w:sz w:val="28"/>
          <w:szCs w:val="28"/>
        </w:rPr>
      </w:pPr>
      <w:proofErr w:type="spellStart"/>
      <w:r w:rsidRPr="005D0129">
        <w:rPr>
          <w:rFonts w:ascii="Times New Roman" w:hAnsi="Times New Roman" w:cs="Times New Roman"/>
          <w:sz w:val="28"/>
          <w:szCs w:val="28"/>
        </w:rPr>
        <w:t>Вавулин</w:t>
      </w:r>
      <w:proofErr w:type="spellEnd"/>
      <w:r w:rsidRPr="005D0129">
        <w:rPr>
          <w:rFonts w:ascii="Times New Roman" w:hAnsi="Times New Roman" w:cs="Times New Roman"/>
          <w:sz w:val="28"/>
          <w:szCs w:val="28"/>
        </w:rPr>
        <w:t xml:space="preserve"> Д.А. Новые требования к раскрытию информации эмитентами ценных бумаг. // Право и экономика. – 2012. - N 2.</w:t>
      </w:r>
    </w:p>
    <w:p w:rsidR="00485C7F" w:rsidRPr="005D0129" w:rsidRDefault="00485C7F" w:rsidP="00485C7F">
      <w:pPr>
        <w:pStyle w:val="a3"/>
        <w:numPr>
          <w:ilvl w:val="0"/>
          <w:numId w:val="17"/>
        </w:numPr>
        <w:spacing w:line="240" w:lineRule="auto"/>
        <w:jc w:val="both"/>
        <w:rPr>
          <w:rFonts w:ascii="Times New Roman" w:hAnsi="Times New Roman" w:cs="Times New Roman"/>
          <w:sz w:val="28"/>
          <w:szCs w:val="28"/>
        </w:rPr>
      </w:pPr>
      <w:proofErr w:type="spellStart"/>
      <w:r w:rsidRPr="005D0129">
        <w:rPr>
          <w:rFonts w:ascii="Times New Roman" w:hAnsi="Times New Roman" w:cs="Times New Roman"/>
          <w:sz w:val="28"/>
          <w:szCs w:val="28"/>
        </w:rPr>
        <w:t>Вавулин</w:t>
      </w:r>
      <w:proofErr w:type="spellEnd"/>
      <w:r w:rsidRPr="005D0129">
        <w:rPr>
          <w:rFonts w:ascii="Times New Roman" w:hAnsi="Times New Roman" w:cs="Times New Roman"/>
          <w:sz w:val="28"/>
          <w:szCs w:val="28"/>
        </w:rPr>
        <w:t xml:space="preserve"> Д.А., Федотов В.Н. Нарушение порядка раскрытия информации акционерными обществами. // СПС «Консультант Плюс». </w:t>
      </w:r>
    </w:p>
    <w:p w:rsidR="00485C7F" w:rsidRPr="005D0129" w:rsidRDefault="00485C7F" w:rsidP="00485C7F">
      <w:pPr>
        <w:pStyle w:val="a3"/>
        <w:numPr>
          <w:ilvl w:val="0"/>
          <w:numId w:val="17"/>
        </w:numPr>
        <w:spacing w:line="240" w:lineRule="auto"/>
        <w:jc w:val="both"/>
        <w:rPr>
          <w:rFonts w:ascii="Times New Roman" w:hAnsi="Times New Roman" w:cs="Times New Roman"/>
          <w:sz w:val="28"/>
          <w:szCs w:val="28"/>
          <w:lang w:val="en-US"/>
        </w:rPr>
      </w:pPr>
      <w:r w:rsidRPr="005D0129">
        <w:rPr>
          <w:rFonts w:ascii="Times New Roman" w:hAnsi="Times New Roman" w:cs="Times New Roman"/>
          <w:sz w:val="28"/>
          <w:szCs w:val="28"/>
        </w:rPr>
        <w:t xml:space="preserve">Григорий Колесов. Изменения процедур раскрытия информации эмитентами ценных бумаг и сделки М&amp;А. // Слияния и поглощения. </w:t>
      </w:r>
      <w:r w:rsidRPr="005D0129">
        <w:rPr>
          <w:rFonts w:ascii="Times New Roman" w:hAnsi="Times New Roman" w:cs="Times New Roman"/>
          <w:sz w:val="28"/>
          <w:szCs w:val="28"/>
          <w:lang w:val="en-US"/>
        </w:rPr>
        <w:t>№ 4 (122). 2013.</w:t>
      </w:r>
    </w:p>
    <w:p w:rsidR="00485C7F" w:rsidRPr="005D0129" w:rsidRDefault="00485C7F" w:rsidP="00485C7F">
      <w:pPr>
        <w:pStyle w:val="a3"/>
        <w:numPr>
          <w:ilvl w:val="0"/>
          <w:numId w:val="17"/>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Информационное письмо N 176. Изменения в законодательстве о рынке ценных бумаг относительно раскрытия информации. // Юридическая фирма "</w:t>
      </w:r>
      <w:proofErr w:type="spellStart"/>
      <w:r w:rsidRPr="005D0129">
        <w:rPr>
          <w:rFonts w:ascii="Times New Roman" w:hAnsi="Times New Roman" w:cs="Times New Roman"/>
          <w:sz w:val="28"/>
          <w:szCs w:val="28"/>
        </w:rPr>
        <w:t>Гольцблат</w:t>
      </w:r>
      <w:proofErr w:type="spellEnd"/>
      <w:r w:rsidRPr="005D0129">
        <w:rPr>
          <w:rFonts w:ascii="Times New Roman" w:hAnsi="Times New Roman" w:cs="Times New Roman"/>
          <w:sz w:val="28"/>
          <w:szCs w:val="28"/>
        </w:rPr>
        <w:t xml:space="preserve"> БЛП", Корпоративная практика / Слияния и поглощения.</w:t>
      </w:r>
    </w:p>
    <w:p w:rsidR="00485C7F" w:rsidRPr="005D0129" w:rsidRDefault="00485C7F" w:rsidP="00485C7F">
      <w:pPr>
        <w:pStyle w:val="a3"/>
        <w:numPr>
          <w:ilvl w:val="0"/>
          <w:numId w:val="17"/>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Кондратьева </w:t>
      </w:r>
      <w:proofErr w:type="gramStart"/>
      <w:r w:rsidRPr="005D0129">
        <w:rPr>
          <w:rFonts w:ascii="Times New Roman" w:hAnsi="Times New Roman" w:cs="Times New Roman"/>
          <w:sz w:val="28"/>
          <w:szCs w:val="28"/>
        </w:rPr>
        <w:t>В.</w:t>
      </w:r>
      <w:proofErr w:type="gramEnd"/>
      <w:r w:rsidRPr="005D0129">
        <w:rPr>
          <w:rFonts w:ascii="Times New Roman" w:hAnsi="Times New Roman" w:cs="Times New Roman"/>
          <w:sz w:val="28"/>
          <w:szCs w:val="28"/>
        </w:rPr>
        <w:t xml:space="preserve"> Что изменилось в порядке обязательного раскрытия информации акционерными обществами? // Акционерный вестник. – 2012. - N 1-2.</w:t>
      </w:r>
    </w:p>
    <w:p w:rsidR="00485C7F" w:rsidRPr="005D0129" w:rsidRDefault="00485C7F" w:rsidP="00485C7F">
      <w:pPr>
        <w:pStyle w:val="a3"/>
        <w:numPr>
          <w:ilvl w:val="0"/>
          <w:numId w:val="17"/>
        </w:numPr>
        <w:spacing w:line="240" w:lineRule="auto"/>
        <w:jc w:val="both"/>
        <w:rPr>
          <w:rFonts w:ascii="Times New Roman" w:hAnsi="Times New Roman" w:cs="Times New Roman"/>
          <w:sz w:val="28"/>
          <w:szCs w:val="28"/>
        </w:rPr>
      </w:pPr>
      <w:proofErr w:type="spellStart"/>
      <w:r w:rsidRPr="005D0129">
        <w:rPr>
          <w:rFonts w:ascii="Times New Roman" w:hAnsi="Times New Roman" w:cs="Times New Roman"/>
          <w:sz w:val="28"/>
          <w:szCs w:val="28"/>
        </w:rPr>
        <w:t>Павлюк</w:t>
      </w:r>
      <w:proofErr w:type="spellEnd"/>
      <w:r w:rsidRPr="005D0129">
        <w:rPr>
          <w:rFonts w:ascii="Times New Roman" w:hAnsi="Times New Roman" w:cs="Times New Roman"/>
          <w:sz w:val="28"/>
          <w:szCs w:val="28"/>
        </w:rPr>
        <w:t xml:space="preserve"> А.В. О судебной практике по делам о нарушениях раскрытия информации акционерными обществами. // СПС «Консультант Плюс».</w:t>
      </w:r>
    </w:p>
    <w:p w:rsidR="00485C7F" w:rsidRPr="005D0129" w:rsidRDefault="00485C7F" w:rsidP="00485C7F">
      <w:pPr>
        <w:spacing w:line="240" w:lineRule="auto"/>
        <w:jc w:val="both"/>
        <w:rPr>
          <w:rFonts w:ascii="Times New Roman" w:hAnsi="Times New Roman" w:cs="Times New Roman"/>
          <w:b/>
          <w:sz w:val="28"/>
          <w:szCs w:val="28"/>
          <w:u w:val="single"/>
        </w:rPr>
      </w:pPr>
      <w:r w:rsidRPr="005D0129">
        <w:rPr>
          <w:rFonts w:ascii="Times New Roman" w:hAnsi="Times New Roman" w:cs="Times New Roman"/>
          <w:b/>
          <w:sz w:val="28"/>
          <w:szCs w:val="28"/>
          <w:u w:val="single"/>
        </w:rPr>
        <w:t>Электронные ресурсы</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lang w:val="en-US"/>
        </w:rPr>
      </w:pPr>
      <w:r w:rsidRPr="005D0129">
        <w:rPr>
          <w:rFonts w:ascii="Times New Roman" w:hAnsi="Times New Roman" w:cs="Times New Roman"/>
          <w:sz w:val="28"/>
          <w:szCs w:val="28"/>
        </w:rPr>
        <w:t>Официальный</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сайт</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правовой</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системы</w:t>
      </w:r>
      <w:r w:rsidRPr="005D0129">
        <w:rPr>
          <w:rFonts w:ascii="Times New Roman" w:hAnsi="Times New Roman" w:cs="Times New Roman"/>
          <w:sz w:val="28"/>
          <w:szCs w:val="28"/>
          <w:lang w:val="en-US"/>
        </w:rPr>
        <w:t xml:space="preserve"> Electronic Code of Federal Regulations [</w:t>
      </w:r>
      <w:r w:rsidRPr="005D0129">
        <w:rPr>
          <w:rFonts w:ascii="Times New Roman" w:hAnsi="Times New Roman" w:cs="Times New Roman"/>
          <w:sz w:val="28"/>
          <w:szCs w:val="28"/>
        </w:rPr>
        <w:t>Электронный</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ресурс</w:t>
      </w:r>
      <w:r w:rsidRPr="005D0129">
        <w:rPr>
          <w:rFonts w:ascii="Times New Roman" w:hAnsi="Times New Roman" w:cs="Times New Roman"/>
          <w:sz w:val="28"/>
          <w:szCs w:val="28"/>
          <w:lang w:val="en-US"/>
        </w:rPr>
        <w:t xml:space="preserve">]: §249.308, Subpart D--Forms for annual and other reports of issuers required under Sections 13 and (D) of the Securities Exchange Act of 1934, Part 249 Forms, Securities Exchange Act of 1934. – </w:t>
      </w:r>
      <w:r w:rsidRPr="005D0129">
        <w:rPr>
          <w:rFonts w:ascii="Times New Roman" w:hAnsi="Times New Roman" w:cs="Times New Roman"/>
          <w:sz w:val="28"/>
          <w:szCs w:val="28"/>
        </w:rPr>
        <w:t>Режим</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доступа</w:t>
      </w:r>
      <w:r w:rsidRPr="005D0129">
        <w:rPr>
          <w:rFonts w:ascii="Times New Roman" w:hAnsi="Times New Roman" w:cs="Times New Roman"/>
          <w:sz w:val="28"/>
          <w:szCs w:val="28"/>
          <w:lang w:val="en-US"/>
        </w:rPr>
        <w:t xml:space="preserve">: http://www.ecfr.gov, </w:t>
      </w:r>
      <w:r w:rsidRPr="005D0129">
        <w:rPr>
          <w:rFonts w:ascii="Times New Roman" w:hAnsi="Times New Roman" w:cs="Times New Roman"/>
          <w:sz w:val="28"/>
          <w:szCs w:val="28"/>
        </w:rPr>
        <w:t>свободный</w:t>
      </w:r>
      <w:r w:rsidRPr="005D0129">
        <w:rPr>
          <w:rFonts w:ascii="Times New Roman" w:hAnsi="Times New Roman" w:cs="Times New Roman"/>
          <w:sz w:val="28"/>
          <w:szCs w:val="28"/>
          <w:lang w:val="en-US"/>
        </w:rPr>
        <w:t xml:space="preserve">.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с</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экрана</w:t>
      </w:r>
      <w:r w:rsidRPr="005D0129">
        <w:rPr>
          <w:rFonts w:ascii="Times New Roman" w:hAnsi="Times New Roman" w:cs="Times New Roman"/>
          <w:sz w:val="28"/>
          <w:szCs w:val="28"/>
          <w:lang w:val="en-US"/>
        </w:rPr>
        <w:t>.</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Научная социальная сеть уголовно-правовой и криминологической направленности [Электронный ресурс]: Статистические данные ГИАЦ МВД России по состоянию преступности (2005-2009 гг.). – Режим доступа: http://www.crimpravo.ru/page/mvdstatistic/,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газеты «Коммерсант» [Электронный ресурс]: №186 (4727), 05.10.2011. – Режим доступа: http://www.kommersant.ru/doc/1787924,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xml:space="preserve">. с экрана.   </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The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Laws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That</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Govern</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the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Securities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Industry</w:t>
      </w:r>
      <w:proofErr w:type="spellEnd"/>
      <w:r w:rsidRPr="005D0129">
        <w:rPr>
          <w:rFonts w:ascii="Times New Roman" w:hAnsi="Times New Roman" w:cs="Times New Roman"/>
          <w:sz w:val="28"/>
          <w:szCs w:val="28"/>
        </w:rPr>
        <w:t xml:space="preserve">. – Режим доступа: http://www.sec.gov/about/laws.shtml,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lastRenderedPageBreak/>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Form</w:t>
      </w:r>
      <w:proofErr w:type="spellEnd"/>
      <w:r w:rsidRPr="005D0129">
        <w:rPr>
          <w:rFonts w:ascii="Times New Roman" w:hAnsi="Times New Roman" w:cs="Times New Roman"/>
          <w:sz w:val="28"/>
          <w:szCs w:val="28"/>
        </w:rPr>
        <w:t xml:space="preserve"> 10-K. – Режим доступа: http://www.sec.gov/answers/form10k.htm,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Form</w:t>
      </w:r>
      <w:proofErr w:type="spellEnd"/>
      <w:r w:rsidRPr="005D0129">
        <w:rPr>
          <w:rFonts w:ascii="Times New Roman" w:hAnsi="Times New Roman" w:cs="Times New Roman"/>
          <w:sz w:val="28"/>
          <w:szCs w:val="28"/>
        </w:rPr>
        <w:t xml:space="preserve"> 10-Q. – Режим доступа: http://www.sec.gov/answers/form10q.htm,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Form</w:t>
      </w:r>
      <w:proofErr w:type="spellEnd"/>
      <w:r w:rsidRPr="005D0129">
        <w:rPr>
          <w:rFonts w:ascii="Times New Roman" w:hAnsi="Times New Roman" w:cs="Times New Roman"/>
          <w:sz w:val="28"/>
          <w:szCs w:val="28"/>
        </w:rPr>
        <w:t xml:space="preserve"> 8-K. – Режим доступа: http://www.sec.gov/answers/form8k.htm,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Securities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and</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Exchange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Commission</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Forms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List</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Annual</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report</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pursuant</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to</w:t>
      </w:r>
      <w:proofErr w:type="spellEnd"/>
      <w:r w:rsidRPr="005D0129">
        <w:rPr>
          <w:rFonts w:ascii="Times New Roman" w:hAnsi="Times New Roman" w:cs="Times New Roman"/>
          <w:sz w:val="28"/>
          <w:szCs w:val="28"/>
        </w:rPr>
        <w:t xml:space="preserve"> Section 13 </w:t>
      </w:r>
      <w:proofErr w:type="spellStart"/>
      <w:r w:rsidRPr="005D0129">
        <w:rPr>
          <w:rFonts w:ascii="Times New Roman" w:hAnsi="Times New Roman" w:cs="Times New Roman"/>
          <w:sz w:val="28"/>
          <w:szCs w:val="28"/>
        </w:rPr>
        <w:t>or</w:t>
      </w:r>
      <w:proofErr w:type="spellEnd"/>
      <w:r w:rsidRPr="005D0129">
        <w:rPr>
          <w:rFonts w:ascii="Times New Roman" w:hAnsi="Times New Roman" w:cs="Times New Roman"/>
          <w:sz w:val="28"/>
          <w:szCs w:val="28"/>
        </w:rPr>
        <w:t xml:space="preserve"> 15(</w:t>
      </w:r>
      <w:proofErr w:type="spellStart"/>
      <w:r w:rsidRPr="005D0129">
        <w:rPr>
          <w:rFonts w:ascii="Times New Roman" w:hAnsi="Times New Roman" w:cs="Times New Roman"/>
          <w:sz w:val="28"/>
          <w:szCs w:val="28"/>
        </w:rPr>
        <w:t>d</w:t>
      </w:r>
      <w:proofErr w:type="spellEnd"/>
      <w:r w:rsidRPr="005D0129">
        <w:rPr>
          <w:rFonts w:ascii="Times New Roman" w:hAnsi="Times New Roman" w:cs="Times New Roman"/>
          <w:sz w:val="28"/>
          <w:szCs w:val="28"/>
        </w:rPr>
        <w:t xml:space="preserve">). – Режим доступа: http://www.sec.gov/about/forms/form10-k.pdf,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Securities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and</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Exchange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Commission</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Forms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List</w:t>
      </w:r>
      <w:proofErr w:type="spellEnd"/>
      <w:r w:rsidRPr="005D0129">
        <w:rPr>
          <w:rFonts w:ascii="Times New Roman" w:hAnsi="Times New Roman" w:cs="Times New Roman"/>
          <w:sz w:val="28"/>
          <w:szCs w:val="28"/>
        </w:rPr>
        <w:t xml:space="preserve">, General </w:t>
      </w:r>
      <w:proofErr w:type="spellStart"/>
      <w:r w:rsidRPr="005D0129">
        <w:rPr>
          <w:rFonts w:ascii="Times New Roman" w:hAnsi="Times New Roman" w:cs="Times New Roman"/>
          <w:sz w:val="28"/>
          <w:szCs w:val="28"/>
        </w:rPr>
        <w:t>form</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for</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quarterly</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reports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under</w:t>
      </w:r>
      <w:proofErr w:type="spellEnd"/>
      <w:r w:rsidRPr="005D0129">
        <w:rPr>
          <w:rFonts w:ascii="Times New Roman" w:hAnsi="Times New Roman" w:cs="Times New Roman"/>
          <w:sz w:val="28"/>
          <w:szCs w:val="28"/>
        </w:rPr>
        <w:t xml:space="preserve"> Section 13 </w:t>
      </w:r>
      <w:proofErr w:type="spellStart"/>
      <w:r w:rsidRPr="005D0129">
        <w:rPr>
          <w:rFonts w:ascii="Times New Roman" w:hAnsi="Times New Roman" w:cs="Times New Roman"/>
          <w:sz w:val="28"/>
          <w:szCs w:val="28"/>
        </w:rPr>
        <w:t>or</w:t>
      </w:r>
      <w:proofErr w:type="spellEnd"/>
      <w:r w:rsidRPr="005D0129">
        <w:rPr>
          <w:rFonts w:ascii="Times New Roman" w:hAnsi="Times New Roman" w:cs="Times New Roman"/>
          <w:sz w:val="28"/>
          <w:szCs w:val="28"/>
        </w:rPr>
        <w:t xml:space="preserve"> 15(</w:t>
      </w:r>
      <w:proofErr w:type="spellStart"/>
      <w:r w:rsidRPr="005D0129">
        <w:rPr>
          <w:rFonts w:ascii="Times New Roman" w:hAnsi="Times New Roman" w:cs="Times New Roman"/>
          <w:sz w:val="28"/>
          <w:szCs w:val="28"/>
        </w:rPr>
        <w:t>d</w:t>
      </w:r>
      <w:proofErr w:type="spellEnd"/>
      <w:r w:rsidRPr="005D0129">
        <w:rPr>
          <w:rFonts w:ascii="Times New Roman" w:hAnsi="Times New Roman" w:cs="Times New Roman"/>
          <w:sz w:val="28"/>
          <w:szCs w:val="28"/>
        </w:rPr>
        <w:t xml:space="preserve">). – Режим доступа: http://www.sec.gov/about/forms/form10-q.pdf,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The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Investor's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Advocate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How</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the</w:t>
      </w:r>
      <w:proofErr w:type="spellEnd"/>
      <w:r w:rsidRPr="005D0129">
        <w:rPr>
          <w:rFonts w:ascii="Times New Roman" w:hAnsi="Times New Roman" w:cs="Times New Roman"/>
          <w:sz w:val="28"/>
          <w:szCs w:val="28"/>
        </w:rPr>
        <w:t xml:space="preserve"> SEC </w:t>
      </w:r>
      <w:proofErr w:type="spellStart"/>
      <w:r w:rsidRPr="005D0129">
        <w:rPr>
          <w:rFonts w:ascii="Times New Roman" w:hAnsi="Times New Roman" w:cs="Times New Roman"/>
          <w:sz w:val="28"/>
          <w:szCs w:val="28"/>
        </w:rPr>
        <w:t>Protects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Investors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Maintains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Market</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Integrity</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and</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Facilitates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Capital</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Formation</w:t>
      </w:r>
      <w:proofErr w:type="spellEnd"/>
      <w:r w:rsidRPr="005D0129">
        <w:rPr>
          <w:rFonts w:ascii="Times New Roman" w:hAnsi="Times New Roman" w:cs="Times New Roman"/>
          <w:sz w:val="28"/>
          <w:szCs w:val="28"/>
        </w:rPr>
        <w:t xml:space="preserve">. – Режим доступа: http://www.sec.gov/about/whatwedo.shtml,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Securities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and</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Exchange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Commission</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Forms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List</w:t>
      </w:r>
      <w:proofErr w:type="spellEnd"/>
      <w:r w:rsidRPr="005D0129">
        <w:rPr>
          <w:rFonts w:ascii="Times New Roman" w:hAnsi="Times New Roman" w:cs="Times New Roman"/>
          <w:sz w:val="28"/>
          <w:szCs w:val="28"/>
        </w:rPr>
        <w:t xml:space="preserve">. – Режим доступа: http://www.sec.gov/about/forms/secforms.htm ,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xml:space="preserve">. с экрана. </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Комиссии по ценным бумагам и биржам США [Электронный ресурс]: QUARTERLY REPORT PURSUANT TO SECTION 13 OR 15(d) OF THE SECURITIES EXCHANGE ACT OF 1934 </w:t>
      </w:r>
      <w:proofErr w:type="spellStart"/>
      <w:r w:rsidRPr="005D0129">
        <w:rPr>
          <w:rFonts w:ascii="Times New Roman" w:hAnsi="Times New Roman" w:cs="Times New Roman"/>
          <w:sz w:val="28"/>
          <w:szCs w:val="28"/>
        </w:rPr>
        <w:t>For</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the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quarterly</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period</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ended</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December</w:t>
      </w:r>
      <w:proofErr w:type="spellEnd"/>
      <w:r w:rsidRPr="005D0129">
        <w:rPr>
          <w:rFonts w:ascii="Times New Roman" w:hAnsi="Times New Roman" w:cs="Times New Roman"/>
          <w:sz w:val="28"/>
          <w:szCs w:val="28"/>
        </w:rPr>
        <w:t xml:space="preserve"> 29, 2012, </w:t>
      </w:r>
      <w:proofErr w:type="spellStart"/>
      <w:r w:rsidRPr="005D0129">
        <w:rPr>
          <w:rFonts w:ascii="Times New Roman" w:hAnsi="Times New Roman" w:cs="Times New Roman"/>
          <w:sz w:val="28"/>
          <w:szCs w:val="28"/>
        </w:rPr>
        <w:t>Apple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Inc</w:t>
      </w:r>
      <w:proofErr w:type="spellEnd"/>
      <w:r w:rsidRPr="005D0129">
        <w:rPr>
          <w:rFonts w:ascii="Times New Roman" w:hAnsi="Times New Roman" w:cs="Times New Roman"/>
          <w:sz w:val="28"/>
          <w:szCs w:val="28"/>
        </w:rPr>
        <w:t xml:space="preserve">. – Режим доступа:  http://www.sec.gov/Archives/edgar/data/320193/000119312513022339/d453687d10q.htm,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Important</w:t>
      </w:r>
      <w:proofErr w:type="spellEnd"/>
      <w:r w:rsidRPr="005D0129">
        <w:rPr>
          <w:rFonts w:ascii="Times New Roman" w:hAnsi="Times New Roman" w:cs="Times New Roman"/>
          <w:sz w:val="28"/>
          <w:szCs w:val="28"/>
        </w:rPr>
        <w:t xml:space="preserve"> Information </w:t>
      </w:r>
      <w:proofErr w:type="spellStart"/>
      <w:r w:rsidRPr="005D0129">
        <w:rPr>
          <w:rFonts w:ascii="Times New Roman" w:hAnsi="Times New Roman" w:cs="Times New Roman"/>
          <w:sz w:val="28"/>
          <w:szCs w:val="28"/>
        </w:rPr>
        <w:t>about</w:t>
      </w:r>
      <w:proofErr w:type="spellEnd"/>
      <w:r w:rsidRPr="005D0129">
        <w:rPr>
          <w:rFonts w:ascii="Times New Roman" w:hAnsi="Times New Roman" w:cs="Times New Roman"/>
          <w:sz w:val="28"/>
          <w:szCs w:val="28"/>
        </w:rPr>
        <w:t xml:space="preserve"> EDGAR. – Режим доступа:  http://www.sec.gov/edgar/aboutedgar.htm,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Securities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Exchange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Act</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of</w:t>
      </w:r>
      <w:proofErr w:type="spellEnd"/>
      <w:r w:rsidRPr="005D0129">
        <w:rPr>
          <w:rFonts w:ascii="Times New Roman" w:hAnsi="Times New Roman" w:cs="Times New Roman"/>
          <w:sz w:val="28"/>
          <w:szCs w:val="28"/>
        </w:rPr>
        <w:t xml:space="preserve"> 1934. – Режим доступа: http://www.sec.gov/about/laws/sea34.pdf,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lastRenderedPageBreak/>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Securities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Act</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of</w:t>
      </w:r>
      <w:proofErr w:type="spellEnd"/>
      <w:r w:rsidRPr="005D0129">
        <w:rPr>
          <w:rFonts w:ascii="Times New Roman" w:hAnsi="Times New Roman" w:cs="Times New Roman"/>
          <w:sz w:val="28"/>
          <w:szCs w:val="28"/>
        </w:rPr>
        <w:t xml:space="preserve"> 1933. – Режим доступа: http://www.sec.gov/about/laws/sa33.pdf,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Национального архива США [Электронный ресурс]: </w:t>
      </w:r>
      <w:proofErr w:type="spellStart"/>
      <w:r w:rsidRPr="005D0129">
        <w:rPr>
          <w:rFonts w:ascii="Times New Roman" w:hAnsi="Times New Roman" w:cs="Times New Roman"/>
          <w:sz w:val="28"/>
          <w:szCs w:val="28"/>
        </w:rPr>
        <w:t>Administrative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Procedure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Act</w:t>
      </w:r>
      <w:proofErr w:type="spellEnd"/>
      <w:r w:rsidRPr="005D0129">
        <w:rPr>
          <w:rFonts w:ascii="Times New Roman" w:hAnsi="Times New Roman" w:cs="Times New Roman"/>
          <w:sz w:val="28"/>
          <w:szCs w:val="28"/>
        </w:rPr>
        <w:t xml:space="preserve">. – Режим доступа: http://www.archives.gov/federal-register/laws/administrative-procedure/,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ОАО «ЛУКОЙЛ» [Электронный ресурс]: раскрытие информации, ежеквартальный отчет эмитента за IV квартал 2012 года. – Режим доступа:  http://www.lukoil.ru/materials/doc/reports/qreports/qr0412_Suppl.pdf,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ОАО «Сбербанк России» [Электронный ресурс]: РДР на акции компании UNITED COMPANY RUSAL PLC. – Режим доступа: http://sbrf.ru/moscow/ru/investor_relations/rdr/rdr_rusal/,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lang w:val="en-US"/>
        </w:rPr>
      </w:pPr>
      <w:r w:rsidRPr="005D0129">
        <w:rPr>
          <w:rFonts w:ascii="Times New Roman" w:hAnsi="Times New Roman" w:cs="Times New Roman"/>
          <w:sz w:val="28"/>
          <w:szCs w:val="28"/>
        </w:rPr>
        <w:t>Официальный</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сайт</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ОЭСР</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Электронный</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ресурс</w:t>
      </w:r>
      <w:r w:rsidRPr="005D0129">
        <w:rPr>
          <w:rFonts w:ascii="Times New Roman" w:hAnsi="Times New Roman" w:cs="Times New Roman"/>
          <w:sz w:val="28"/>
          <w:szCs w:val="28"/>
          <w:lang w:val="en-US"/>
        </w:rPr>
        <w:t xml:space="preserve">]: The Third Meeting of the Russian Corporate Governance Roundtable THE ROLE OF DISCLOSURE IN STRENGTHNING </w:t>
      </w:r>
      <w:proofErr w:type="gramStart"/>
      <w:r w:rsidRPr="005D0129">
        <w:rPr>
          <w:rFonts w:ascii="Times New Roman" w:hAnsi="Times New Roman" w:cs="Times New Roman"/>
          <w:sz w:val="28"/>
          <w:szCs w:val="28"/>
          <w:lang w:val="en-US"/>
        </w:rPr>
        <w:t>COPRORATE</w:t>
      </w:r>
      <w:proofErr w:type="gramEnd"/>
      <w:r w:rsidRPr="005D0129">
        <w:rPr>
          <w:rFonts w:ascii="Times New Roman" w:hAnsi="Times New Roman" w:cs="Times New Roman"/>
          <w:sz w:val="28"/>
          <w:szCs w:val="28"/>
          <w:lang w:val="en-US"/>
        </w:rPr>
        <w:t xml:space="preserve"> GOVERNANCE AND ACCOUNTABILITY (Moscow, 15-16 November 2000) DISCLOSURE: A CORPORATE GOVERNANCE TOOL THAT REALLY WORKS? – </w:t>
      </w:r>
      <w:r w:rsidRPr="005D0129">
        <w:rPr>
          <w:rFonts w:ascii="Times New Roman" w:hAnsi="Times New Roman" w:cs="Times New Roman"/>
          <w:sz w:val="28"/>
          <w:szCs w:val="28"/>
        </w:rPr>
        <w:t>Режим</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доступа</w:t>
      </w:r>
      <w:r w:rsidRPr="005D0129">
        <w:rPr>
          <w:rFonts w:ascii="Times New Roman" w:hAnsi="Times New Roman" w:cs="Times New Roman"/>
          <w:sz w:val="28"/>
          <w:szCs w:val="28"/>
          <w:lang w:val="en-US"/>
        </w:rPr>
        <w:t xml:space="preserve">: http://www.oecd.org/daf/ca/corporategovernanceprinciples/32159669.pdf, </w:t>
      </w:r>
      <w:r w:rsidRPr="005D0129">
        <w:rPr>
          <w:rFonts w:ascii="Times New Roman" w:hAnsi="Times New Roman" w:cs="Times New Roman"/>
          <w:sz w:val="28"/>
          <w:szCs w:val="28"/>
        </w:rPr>
        <w:t>свободный</w:t>
      </w:r>
      <w:r w:rsidRPr="005D0129">
        <w:rPr>
          <w:rFonts w:ascii="Times New Roman" w:hAnsi="Times New Roman" w:cs="Times New Roman"/>
          <w:sz w:val="28"/>
          <w:szCs w:val="28"/>
          <w:lang w:val="en-US"/>
        </w:rPr>
        <w:t xml:space="preserve">.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с</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экрана</w:t>
      </w:r>
      <w:r w:rsidRPr="005D0129">
        <w:rPr>
          <w:rFonts w:ascii="Times New Roman" w:hAnsi="Times New Roman" w:cs="Times New Roman"/>
          <w:sz w:val="28"/>
          <w:szCs w:val="28"/>
          <w:lang w:val="en-US"/>
        </w:rPr>
        <w:t>.</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ОЭСР [Электронный ресурс]: Принципы корпоративного управления ОЭСР. – Режим доступа: http://www.oecd.org/daf/ca/corporategovernanceprinciples/32159669.pdf,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w:t>
      </w:r>
      <w:proofErr w:type="spellStart"/>
      <w:r w:rsidRPr="005D0129">
        <w:rPr>
          <w:rFonts w:ascii="Times New Roman" w:hAnsi="Times New Roman" w:cs="Times New Roman"/>
          <w:sz w:val="28"/>
          <w:szCs w:val="28"/>
        </w:rPr>
        <w:t>РосБизнесКонсалтинг</w:t>
      </w:r>
      <w:proofErr w:type="spellEnd"/>
      <w:r w:rsidRPr="005D0129">
        <w:rPr>
          <w:rFonts w:ascii="Times New Roman" w:hAnsi="Times New Roman" w:cs="Times New Roman"/>
          <w:sz w:val="28"/>
          <w:szCs w:val="28"/>
        </w:rPr>
        <w:t xml:space="preserve"> [Электронный ресурс]: </w:t>
      </w:r>
      <w:proofErr w:type="spellStart"/>
      <w:r w:rsidRPr="005D0129">
        <w:rPr>
          <w:rFonts w:ascii="Times New Roman" w:hAnsi="Times New Roman" w:cs="Times New Roman"/>
          <w:sz w:val="28"/>
          <w:szCs w:val="28"/>
        </w:rPr>
        <w:t>Мегарегулятор</w:t>
      </w:r>
      <w:proofErr w:type="spellEnd"/>
      <w:r w:rsidRPr="005D0129">
        <w:rPr>
          <w:rFonts w:ascii="Times New Roman" w:hAnsi="Times New Roman" w:cs="Times New Roman"/>
          <w:sz w:val="28"/>
          <w:szCs w:val="28"/>
        </w:rPr>
        <w:t xml:space="preserve"> готов: Центробанк поглощает ФСФР. – Режим доступа: http://top.rbc.ru/economics/14/12/2012/836648.shtml,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570528" w:rsidRDefault="00570528" w:rsidP="00570528">
      <w:pPr>
        <w:pStyle w:val="a3"/>
        <w:numPr>
          <w:ilvl w:val="0"/>
          <w:numId w:val="18"/>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0528">
        <w:rPr>
          <w:rFonts w:ascii="Times New Roman" w:hAnsi="Times New Roman" w:cs="Times New Roman"/>
          <w:sz w:val="28"/>
          <w:szCs w:val="28"/>
        </w:rPr>
        <w:t>Официальный сайт Российской газеты [Электронный ресурс]</w:t>
      </w:r>
      <w:proofErr w:type="gramStart"/>
      <w:r w:rsidRPr="00570528">
        <w:rPr>
          <w:rFonts w:ascii="Times New Roman" w:hAnsi="Times New Roman" w:cs="Times New Roman"/>
          <w:sz w:val="28"/>
          <w:szCs w:val="28"/>
        </w:rPr>
        <w:t>:П</w:t>
      </w:r>
      <w:proofErr w:type="gramEnd"/>
      <w:r w:rsidRPr="00570528">
        <w:rPr>
          <w:rFonts w:ascii="Times New Roman" w:hAnsi="Times New Roman" w:cs="Times New Roman"/>
          <w:sz w:val="28"/>
          <w:szCs w:val="28"/>
        </w:rPr>
        <w:t xml:space="preserve">о состоянию на 30 апреля 2013 года Правительство РФ одобрило законопроект о передаче Центробанку полномочий ФСФР. – Режим доступа: http://www.rg.ru/2013/04/30/peredacha-anons.html, свободный. – </w:t>
      </w:r>
      <w:proofErr w:type="spellStart"/>
      <w:r w:rsidRPr="00570528">
        <w:rPr>
          <w:rFonts w:ascii="Times New Roman" w:hAnsi="Times New Roman" w:cs="Times New Roman"/>
          <w:sz w:val="28"/>
          <w:szCs w:val="28"/>
        </w:rPr>
        <w:t>Загл</w:t>
      </w:r>
      <w:proofErr w:type="spellEnd"/>
      <w:r w:rsidRPr="00570528">
        <w:rPr>
          <w:rFonts w:ascii="Times New Roman" w:hAnsi="Times New Roman" w:cs="Times New Roman"/>
          <w:sz w:val="28"/>
          <w:szCs w:val="28"/>
        </w:rPr>
        <w:t>. с экрана.</w:t>
      </w:r>
    </w:p>
    <w:p w:rsidR="00485C7F" w:rsidRPr="005D0129" w:rsidRDefault="00485C7F" w:rsidP="00570528">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Федеральной службы по финансовым рынкам России [Электронный ресурс]: Структура ФСФР России. – Режим доступа: http://www.fcsm.ru/ru/about/structure/,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xml:space="preserve">. с экрана.  </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Федеральной службы по финансовым рынкам России [Электронный ресурс]: Агентства, уполномоченные на опубликование информации эмитентов эмиссионных ценных бумаг в </w:t>
      </w:r>
      <w:r w:rsidRPr="005D0129">
        <w:rPr>
          <w:rFonts w:ascii="Times New Roman" w:hAnsi="Times New Roman" w:cs="Times New Roman"/>
          <w:sz w:val="28"/>
          <w:szCs w:val="28"/>
        </w:rPr>
        <w:lastRenderedPageBreak/>
        <w:t xml:space="preserve">ленте новостей. – Режим доступа: http://www.fcsm.ru/ru/contributors/financialmarket/emitters/inf_open/ ,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xml:space="preserve">. с экрана.  </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Федеральной службы по финансовым рынкам России [Электронный ресурс]: Информация об административных взысканиях, наложенных ФСФР России за сентябрь 2012 года. – Режим доступа: </w:t>
      </w:r>
      <w:proofErr w:type="spellStart"/>
      <w:r w:rsidRPr="005D0129">
        <w:rPr>
          <w:rFonts w:ascii="Times New Roman" w:hAnsi="Times New Roman" w:cs="Times New Roman"/>
          <w:sz w:val="28"/>
          <w:szCs w:val="28"/>
        </w:rPr>
        <w:t>ttp</w:t>
      </w:r>
      <w:proofErr w:type="spellEnd"/>
      <w:r w:rsidRPr="005D0129">
        <w:rPr>
          <w:rFonts w:ascii="Times New Roman" w:hAnsi="Times New Roman" w:cs="Times New Roman"/>
          <w:sz w:val="28"/>
          <w:szCs w:val="28"/>
        </w:rPr>
        <w:t>://</w:t>
      </w:r>
      <w:proofErr w:type="spellStart"/>
      <w:r w:rsidRPr="005D0129">
        <w:rPr>
          <w:rFonts w:ascii="Times New Roman" w:hAnsi="Times New Roman" w:cs="Times New Roman"/>
          <w:sz w:val="28"/>
          <w:szCs w:val="28"/>
        </w:rPr>
        <w:t>www.fcsm.ru</w:t>
      </w:r>
      <w:proofErr w:type="spellEnd"/>
      <w:r w:rsidRPr="005D0129">
        <w:rPr>
          <w:rFonts w:ascii="Times New Roman" w:hAnsi="Times New Roman" w:cs="Times New Roman"/>
          <w:sz w:val="28"/>
          <w:szCs w:val="28"/>
        </w:rPr>
        <w:t>/</w:t>
      </w:r>
      <w:proofErr w:type="spellStart"/>
      <w:r w:rsidRPr="005D0129">
        <w:rPr>
          <w:rFonts w:ascii="Times New Roman" w:hAnsi="Times New Roman" w:cs="Times New Roman"/>
          <w:sz w:val="28"/>
          <w:szCs w:val="28"/>
        </w:rPr>
        <w:t>ru</w:t>
      </w:r>
      <w:proofErr w:type="spellEnd"/>
      <w:r w:rsidRPr="005D0129">
        <w:rPr>
          <w:rFonts w:ascii="Times New Roman" w:hAnsi="Times New Roman" w:cs="Times New Roman"/>
          <w:sz w:val="28"/>
          <w:szCs w:val="28"/>
        </w:rPr>
        <w:t>/</w:t>
      </w:r>
      <w:proofErr w:type="spellStart"/>
      <w:r w:rsidRPr="005D0129">
        <w:rPr>
          <w:rFonts w:ascii="Times New Roman" w:hAnsi="Times New Roman" w:cs="Times New Roman"/>
          <w:sz w:val="28"/>
          <w:szCs w:val="28"/>
        </w:rPr>
        <w:t>enforcement</w:t>
      </w:r>
      <w:proofErr w:type="spellEnd"/>
      <w:r w:rsidRPr="005D0129">
        <w:rPr>
          <w:rFonts w:ascii="Times New Roman" w:hAnsi="Times New Roman" w:cs="Times New Roman"/>
          <w:sz w:val="28"/>
          <w:szCs w:val="28"/>
        </w:rPr>
        <w:t>/</w:t>
      </w:r>
      <w:proofErr w:type="spellStart"/>
      <w:r w:rsidRPr="005D0129">
        <w:rPr>
          <w:rFonts w:ascii="Times New Roman" w:hAnsi="Times New Roman" w:cs="Times New Roman"/>
          <w:sz w:val="28"/>
          <w:szCs w:val="28"/>
        </w:rPr>
        <w:t>sanctions</w:t>
      </w:r>
      <w:proofErr w:type="spellEnd"/>
      <w:r w:rsidRPr="005D0129">
        <w:rPr>
          <w:rFonts w:ascii="Times New Roman" w:hAnsi="Times New Roman" w:cs="Times New Roman"/>
          <w:sz w:val="28"/>
          <w:szCs w:val="28"/>
        </w:rPr>
        <w:t xml:space="preserve">/index.php?id_4=248,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Официальный</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сайт</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юридической</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фирмы</w:t>
      </w:r>
      <w:r w:rsidRPr="005D0129">
        <w:rPr>
          <w:rFonts w:ascii="Times New Roman" w:hAnsi="Times New Roman" w:cs="Times New Roman"/>
          <w:sz w:val="28"/>
          <w:szCs w:val="28"/>
          <w:lang w:val="en-US"/>
        </w:rPr>
        <w:t xml:space="preserve"> </w:t>
      </w:r>
      <w:proofErr w:type="spellStart"/>
      <w:r w:rsidRPr="005D0129">
        <w:rPr>
          <w:rFonts w:ascii="Times New Roman" w:hAnsi="Times New Roman" w:cs="Times New Roman"/>
          <w:sz w:val="28"/>
          <w:szCs w:val="28"/>
          <w:lang w:val="en-US"/>
        </w:rPr>
        <w:t>Haynesboone</w:t>
      </w:r>
      <w:proofErr w:type="spellEnd"/>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Электронный</w:t>
      </w:r>
      <w:r w:rsidRPr="005D0129">
        <w:rPr>
          <w:rFonts w:ascii="Times New Roman" w:hAnsi="Times New Roman" w:cs="Times New Roman"/>
          <w:sz w:val="28"/>
          <w:szCs w:val="28"/>
          <w:lang w:val="en-US"/>
        </w:rPr>
        <w:t xml:space="preserve"> </w:t>
      </w:r>
      <w:r w:rsidRPr="005D0129">
        <w:rPr>
          <w:rFonts w:ascii="Times New Roman" w:hAnsi="Times New Roman" w:cs="Times New Roman"/>
          <w:sz w:val="28"/>
          <w:szCs w:val="28"/>
        </w:rPr>
        <w:t>ресурс</w:t>
      </w:r>
      <w:r w:rsidRPr="005D0129">
        <w:rPr>
          <w:rFonts w:ascii="Times New Roman" w:hAnsi="Times New Roman" w:cs="Times New Roman"/>
          <w:sz w:val="28"/>
          <w:szCs w:val="28"/>
          <w:lang w:val="en-US"/>
        </w:rPr>
        <w:t xml:space="preserve">]: Criminal Enforcement of the U.S. Securities Laws by Ronald W. Breaux, Daniel H. Gold. </w:t>
      </w:r>
      <w:proofErr w:type="spellStart"/>
      <w:r w:rsidRPr="005D0129">
        <w:rPr>
          <w:rFonts w:ascii="Times New Roman" w:hAnsi="Times New Roman" w:cs="Times New Roman"/>
          <w:sz w:val="28"/>
          <w:szCs w:val="28"/>
        </w:rPr>
        <w:t>Haynes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and</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Boone</w:t>
      </w:r>
      <w:proofErr w:type="spellEnd"/>
      <w:r w:rsidRPr="005D0129">
        <w:rPr>
          <w:rFonts w:ascii="Times New Roman" w:hAnsi="Times New Roman" w:cs="Times New Roman"/>
          <w:sz w:val="28"/>
          <w:szCs w:val="28"/>
        </w:rPr>
        <w:t xml:space="preserve">, LLP. – Режим доступа:  http://www.haynesboone.com,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Сайт </w:t>
      </w:r>
      <w:proofErr w:type="spellStart"/>
      <w:r w:rsidRPr="005D0129">
        <w:rPr>
          <w:rFonts w:ascii="Times New Roman" w:hAnsi="Times New Roman" w:cs="Times New Roman"/>
          <w:sz w:val="28"/>
          <w:szCs w:val="28"/>
        </w:rPr>
        <w:t>Cornell</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University</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Law</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School</w:t>
      </w:r>
      <w:proofErr w:type="spellEnd"/>
      <w:r w:rsidRPr="005D0129">
        <w:rPr>
          <w:rFonts w:ascii="Times New Roman" w:hAnsi="Times New Roman" w:cs="Times New Roman"/>
          <w:sz w:val="28"/>
          <w:szCs w:val="28"/>
        </w:rPr>
        <w:t xml:space="preserve"> [Электронный ресурс]: </w:t>
      </w:r>
      <w:proofErr w:type="spellStart"/>
      <w:r w:rsidRPr="005D0129">
        <w:rPr>
          <w:rFonts w:ascii="Times New Roman" w:hAnsi="Times New Roman" w:cs="Times New Roman"/>
          <w:sz w:val="28"/>
          <w:szCs w:val="28"/>
        </w:rPr>
        <w:t>Securities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Exchange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Act</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of</w:t>
      </w:r>
      <w:proofErr w:type="spellEnd"/>
      <w:r w:rsidRPr="005D0129">
        <w:rPr>
          <w:rFonts w:ascii="Times New Roman" w:hAnsi="Times New Roman" w:cs="Times New Roman"/>
          <w:sz w:val="28"/>
          <w:szCs w:val="28"/>
        </w:rPr>
        <w:t xml:space="preserve"> 1934. – Режим доступа: http://www.law.cornell.edu/wex/securities_exchange_act_of_1934,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Сайт Правовой информации [Электронный ресурс]: </w:t>
      </w:r>
      <w:proofErr w:type="spellStart"/>
      <w:r w:rsidRPr="005D0129">
        <w:rPr>
          <w:rFonts w:ascii="Times New Roman" w:hAnsi="Times New Roman" w:cs="Times New Roman"/>
          <w:sz w:val="28"/>
          <w:szCs w:val="28"/>
        </w:rPr>
        <w:t>Infraction</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Misdemeanor</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or</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Felony</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What</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is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the</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Difference</w:t>
      </w:r>
      <w:proofErr w:type="spellEnd"/>
      <w:r w:rsidRPr="005D0129">
        <w:rPr>
          <w:rFonts w:ascii="Times New Roman" w:hAnsi="Times New Roman" w:cs="Times New Roman"/>
          <w:sz w:val="28"/>
          <w:szCs w:val="28"/>
        </w:rPr>
        <w:t xml:space="preserve">? – Режим доступа: http://resources.lawinfo.com/en/articles/criminal-law/federal/infraction-misdemeanor-or-felony-what-is-the-.html,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18"/>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Сайт ФКЦБ России [Электронный ресурс]: Регламент взаимодействия лиц, раскрывающих информацию об эмитенте эмиссионных ценных бумаг, и уполномоченных информационных агентств. – Режим доступа: http://fkcb.ffms.ru/catalog.asp?ob_no=3142,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spacing w:line="240" w:lineRule="auto"/>
        <w:jc w:val="both"/>
        <w:rPr>
          <w:rFonts w:ascii="Times New Roman" w:hAnsi="Times New Roman" w:cs="Times New Roman"/>
          <w:b/>
          <w:sz w:val="28"/>
          <w:szCs w:val="28"/>
          <w:u w:val="single"/>
        </w:rPr>
      </w:pPr>
      <w:r w:rsidRPr="005D0129">
        <w:rPr>
          <w:rFonts w:ascii="Times New Roman" w:hAnsi="Times New Roman" w:cs="Times New Roman"/>
          <w:b/>
          <w:sz w:val="28"/>
          <w:szCs w:val="28"/>
          <w:u w:val="single"/>
        </w:rPr>
        <w:t>Нормативные источники</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"Гражданский кодекс Российской Федерации (часть первая)" от 30.11.1994 N 51-ФЗ // Собрание законодательства РФ. – 1994. - N 32. - Ст. 3301.</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"Кодекс Российской Федерации об административных правонарушениях" от 30.12.2001 N 195-ФЗ // Российская газета. - N 256. – 2001.</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"Уголовный кодекс Российской Федерации" от 13.06.1996 N 63-ФЗ // Собрание законодательства РФ. – 1996. - N 25. - Ст. 2954.</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Федеральный закон от 22.04.1996 N 39-ФЗ "О рынке ценных бумаг" // Российская газета. - N 79. – 1996.</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Федеральный закон «Об обществах с ограниченной ответственностью» от 08.02.1998 N 14-ФЗ // Российская газета. - N 30. - 1998.</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Федеральный закон от 26.12.1995 N 208-ФЗ "Об акционерных обществах" // Собрание законодательства РФ. – 1996. - N 1. - Ст. 1.</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Федеральный закон от 05.03.1999 N 46-ФЗ "О защите прав и законных интересов инвесторов на рынке ценных бумаг" // Российская газета. - N 46. - 1999.</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lastRenderedPageBreak/>
        <w:t xml:space="preserve">Федеральный закон от 29.12.2012 N 282-ФЗ "О внесении изменений в отдельные законодательные акты Российской Федерации и признании </w:t>
      </w:r>
      <w:proofErr w:type="gramStart"/>
      <w:r w:rsidRPr="005D0129">
        <w:rPr>
          <w:rFonts w:ascii="Times New Roman" w:hAnsi="Times New Roman" w:cs="Times New Roman"/>
          <w:sz w:val="28"/>
          <w:szCs w:val="28"/>
        </w:rPr>
        <w:t>утратившими</w:t>
      </w:r>
      <w:proofErr w:type="gramEnd"/>
      <w:r w:rsidRPr="005D0129">
        <w:rPr>
          <w:rFonts w:ascii="Times New Roman" w:hAnsi="Times New Roman" w:cs="Times New Roman"/>
          <w:sz w:val="28"/>
          <w:szCs w:val="28"/>
        </w:rPr>
        <w:t xml:space="preserve"> силу отдельных положений законодательных актов Российской Федерации" // Российская газета. - N 303. – 2012.</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Федеральный закон от 04.10.2010 N 264-ФЗ "О внесении изменений в Федеральный закон "О рынке ценных бумаг" и отдельные законодательные акты Российской Федерации" // Российская газета. - N 228. – 2010.</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Приказ ФСФР РФ от 10.10.2006 N 06-117/</w:t>
      </w:r>
      <w:proofErr w:type="spellStart"/>
      <w:r w:rsidRPr="005D0129">
        <w:rPr>
          <w:rFonts w:ascii="Times New Roman" w:hAnsi="Times New Roman" w:cs="Times New Roman"/>
          <w:sz w:val="28"/>
          <w:szCs w:val="28"/>
        </w:rPr>
        <w:t>пз-н</w:t>
      </w:r>
      <w:proofErr w:type="spellEnd"/>
      <w:r w:rsidRPr="005D0129">
        <w:rPr>
          <w:rFonts w:ascii="Times New Roman" w:hAnsi="Times New Roman" w:cs="Times New Roman"/>
          <w:sz w:val="28"/>
          <w:szCs w:val="28"/>
        </w:rPr>
        <w:t xml:space="preserve"> "Об утверждении Положения о раскрытии информации эмитентами эмиссионных ценных бумаг" // СПС «Консультант Плюс».</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Приказ ФСФР РФ от 09.12.2010 N 10-75/</w:t>
      </w:r>
      <w:proofErr w:type="spellStart"/>
      <w:r w:rsidRPr="005D0129">
        <w:rPr>
          <w:rFonts w:ascii="Times New Roman" w:hAnsi="Times New Roman" w:cs="Times New Roman"/>
          <w:sz w:val="28"/>
          <w:szCs w:val="28"/>
        </w:rPr>
        <w:t>пз-н</w:t>
      </w:r>
      <w:proofErr w:type="spellEnd"/>
      <w:r w:rsidRPr="005D0129">
        <w:rPr>
          <w:rFonts w:ascii="Times New Roman" w:hAnsi="Times New Roman" w:cs="Times New Roman"/>
          <w:sz w:val="28"/>
          <w:szCs w:val="28"/>
        </w:rPr>
        <w:t xml:space="preserve"> "Об утверждении Порядка рассмотрения заявлений эмитентов, являющихся акционерными обществами, об освобождении их от обязанности осуществлять раскрытие или предоставление информации в соответствии со статьей 30 Федерального закона "О рынке ценных бумаг" // Бюллетень нормативных актов федеральных органов исполнительной власти. - N 7. – 2011.</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Приказ ФСФР России от 04.10.2011 N 11-46/</w:t>
      </w:r>
      <w:proofErr w:type="spellStart"/>
      <w:r w:rsidRPr="005D0129">
        <w:rPr>
          <w:rFonts w:ascii="Times New Roman" w:hAnsi="Times New Roman" w:cs="Times New Roman"/>
          <w:sz w:val="28"/>
          <w:szCs w:val="28"/>
        </w:rPr>
        <w:t>пз-н</w:t>
      </w:r>
      <w:proofErr w:type="spellEnd"/>
      <w:r w:rsidRPr="005D0129">
        <w:rPr>
          <w:rFonts w:ascii="Times New Roman" w:hAnsi="Times New Roman" w:cs="Times New Roman"/>
          <w:sz w:val="28"/>
          <w:szCs w:val="28"/>
        </w:rPr>
        <w:t xml:space="preserve"> "Об утверждении Положения о раскрытии информации эмитентами эмиссионных ценных бумаг" // Бюллетень нормативных актов федеральных органов исполнительной власти. - N 8. – 2012.</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Указ Президента РФ от 04.11.1994 N 2063 "О мерах по государственному регулированию рынка ценных бумаг в Российской Федерации" // Собрание законодательства Российской Федерации. – 1994. - N 28. - Ст. 2972.</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Указ Президента РФ от 01.07.1996 N 1009 "О Федеральной комиссии по рынку ценных бумаг" // Российская газета. - N 130. – 1996.</w:t>
      </w:r>
    </w:p>
    <w:p w:rsidR="00485C7F" w:rsidRPr="005D0129" w:rsidRDefault="00485C7F" w:rsidP="00485C7F">
      <w:pPr>
        <w:pStyle w:val="a3"/>
        <w:numPr>
          <w:ilvl w:val="0"/>
          <w:numId w:val="19"/>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Указ Президента РФ от 09.03.2004 N 314 "О системе и структуре федеральных органов исполнительной власти" // Российская газета. - N 50. - 2004.</w:t>
      </w:r>
    </w:p>
    <w:p w:rsidR="00485C7F" w:rsidRPr="005D0129" w:rsidRDefault="00485C7F" w:rsidP="00485C7F">
      <w:pPr>
        <w:pStyle w:val="a3"/>
        <w:spacing w:line="240" w:lineRule="auto"/>
        <w:jc w:val="both"/>
        <w:rPr>
          <w:rFonts w:ascii="Times New Roman" w:hAnsi="Times New Roman" w:cs="Times New Roman"/>
          <w:b/>
          <w:sz w:val="28"/>
          <w:szCs w:val="28"/>
          <w:u w:val="single"/>
        </w:rPr>
      </w:pPr>
      <w:r w:rsidRPr="005D0129">
        <w:rPr>
          <w:rFonts w:ascii="Times New Roman" w:hAnsi="Times New Roman" w:cs="Times New Roman"/>
          <w:b/>
          <w:sz w:val="28"/>
          <w:szCs w:val="28"/>
          <w:u w:val="single"/>
        </w:rPr>
        <w:t>Судебная и административная практика</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Определение ВАС РФ № ВАС-2917/10 от 23.03.2010 г.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Litigation</w:t>
      </w:r>
      <w:proofErr w:type="spellEnd"/>
      <w:r w:rsidRPr="005D0129">
        <w:rPr>
          <w:rFonts w:ascii="Times New Roman" w:hAnsi="Times New Roman" w:cs="Times New Roman"/>
          <w:sz w:val="28"/>
          <w:szCs w:val="28"/>
        </w:rPr>
        <w:t xml:space="preserve">. – </w:t>
      </w:r>
      <w:proofErr w:type="gramStart"/>
      <w:r w:rsidRPr="005D0129">
        <w:rPr>
          <w:rFonts w:ascii="Times New Roman" w:hAnsi="Times New Roman" w:cs="Times New Roman"/>
          <w:sz w:val="28"/>
          <w:szCs w:val="28"/>
        </w:rPr>
        <w:t>Режим доступа: http://www.sec.gov/litigation/admin/2013/34-69046.pdf , http://www.sec.gov/litigation/admin/2013/34-69116.pdf, http://www.sec.gov/litigation/admin/2013/34-69117.pdf, http://www.sec.gov/litigation/admin/2013/34-69260.pdf, http://www.sec.gov/litigation/admin/2012/33-9371.pdf, http://www.sec.gov/litigation/admin/2013/34-69206.pdf, свободный.</w:t>
      </w:r>
      <w:proofErr w:type="gramEnd"/>
      <w:r w:rsidRPr="005D0129">
        <w:rPr>
          <w:rFonts w:ascii="Times New Roman" w:hAnsi="Times New Roman" w:cs="Times New Roman"/>
          <w:sz w:val="28"/>
          <w:szCs w:val="28"/>
        </w:rPr>
        <w:t xml:space="preserve">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xml:space="preserve">. с экрана.  </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lastRenderedPageBreak/>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Litigation</w:t>
      </w:r>
      <w:proofErr w:type="spellEnd"/>
      <w:r w:rsidRPr="005D0129">
        <w:rPr>
          <w:rFonts w:ascii="Times New Roman" w:hAnsi="Times New Roman" w:cs="Times New Roman"/>
          <w:sz w:val="28"/>
          <w:szCs w:val="28"/>
        </w:rPr>
        <w:t xml:space="preserve">. – Режим доступа: http://www.sec.gov/litigation/admin/2013/34-68703.pdf, http://www.sec.gov/litigation/admin/33-8569.pdf, http://www.sec.gov/litigation/complaints/2013/comp22644.pdf,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xml:space="preserve">. с экрана.   </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Комиссии по ценным бумагам и биржам США [Электронный ресурс]: </w:t>
      </w:r>
      <w:proofErr w:type="spellStart"/>
      <w:r w:rsidRPr="005D0129">
        <w:rPr>
          <w:rFonts w:ascii="Times New Roman" w:hAnsi="Times New Roman" w:cs="Times New Roman"/>
          <w:sz w:val="28"/>
          <w:szCs w:val="28"/>
        </w:rPr>
        <w:t>Litigation</w:t>
      </w:r>
      <w:proofErr w:type="spellEnd"/>
      <w:r w:rsidRPr="005D0129">
        <w:rPr>
          <w:rFonts w:ascii="Times New Roman" w:hAnsi="Times New Roman" w:cs="Times New Roman"/>
          <w:sz w:val="28"/>
          <w:szCs w:val="28"/>
        </w:rPr>
        <w:t xml:space="preserve">. – Режим доступа: http://www.sec.gov/litigation/complaints/2012/comp-pr2012-231.pdf,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с экрана.</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Официальный сайт Комиссии по ценным бумагам и биржам США [Электронный ресурс]:  SEC </w:t>
      </w:r>
      <w:proofErr w:type="spellStart"/>
      <w:r w:rsidRPr="005D0129">
        <w:rPr>
          <w:rFonts w:ascii="Times New Roman" w:hAnsi="Times New Roman" w:cs="Times New Roman"/>
          <w:sz w:val="28"/>
          <w:szCs w:val="28"/>
        </w:rPr>
        <w:t>Enforcement</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Actions</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Key</w:t>
      </w:r>
      <w:proofErr w:type="spellEnd"/>
      <w:r w:rsidRPr="005D0129">
        <w:rPr>
          <w:rFonts w:ascii="Times New Roman" w:hAnsi="Times New Roman" w:cs="Times New Roman"/>
          <w:sz w:val="28"/>
          <w:szCs w:val="28"/>
        </w:rPr>
        <w:t xml:space="preserve"> </w:t>
      </w:r>
      <w:proofErr w:type="spellStart"/>
      <w:r w:rsidRPr="005D0129">
        <w:rPr>
          <w:rFonts w:ascii="Times New Roman" w:hAnsi="Times New Roman" w:cs="Times New Roman"/>
          <w:sz w:val="28"/>
          <w:szCs w:val="28"/>
        </w:rPr>
        <w:t>Statistics</w:t>
      </w:r>
      <w:proofErr w:type="spellEnd"/>
      <w:r w:rsidRPr="005D0129">
        <w:rPr>
          <w:rFonts w:ascii="Times New Roman" w:hAnsi="Times New Roman" w:cs="Times New Roman"/>
          <w:sz w:val="28"/>
          <w:szCs w:val="28"/>
        </w:rPr>
        <w:t xml:space="preserve">. – Режим доступа: http://www.sec.gov/spotlight/enf-actions-fc.shtml , свободный. – </w:t>
      </w:r>
      <w:proofErr w:type="spellStart"/>
      <w:r w:rsidRPr="005D0129">
        <w:rPr>
          <w:rFonts w:ascii="Times New Roman" w:hAnsi="Times New Roman" w:cs="Times New Roman"/>
          <w:sz w:val="28"/>
          <w:szCs w:val="28"/>
        </w:rPr>
        <w:t>Загл</w:t>
      </w:r>
      <w:proofErr w:type="spellEnd"/>
      <w:r w:rsidRPr="005D0129">
        <w:rPr>
          <w:rFonts w:ascii="Times New Roman" w:hAnsi="Times New Roman" w:cs="Times New Roman"/>
          <w:sz w:val="28"/>
          <w:szCs w:val="28"/>
        </w:rPr>
        <w:t>.  экрана.</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Постановление Девятого арбитражного апелляционного суда № 09АП-2095/2013 от 26.02.2013 по делу № А40-128686/12-33-187. // СПС «Консультант Плюс». </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Постановление Девятого арбитражного апелляционного суда № 09АП-2095/2013 от 26.02.2013 по делу № А40-128686/12-33-187.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Постановление Девятого арбитражного апелляционного суда № 09АП-2095/2013 от 26.02.2013 по делу № А40-128686/12-33-187. // СПС «Консультант Плюс».   </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Постановление Одиннадцатого арбитражного апелляционного суда от 03.05.2012 по делу N А65-2372/2012.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Постановление от 02.06.2004 N 10 "О некоторых вопросах, возникших в судебной практике при рассмотрении дел об административных правонарушениях".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Постановление Пленума Верховного Суда РФ N 6, Пленума ВАС РФ N 8 от 01.07.1996 "О некоторых вопросах, связанных с применением части первой Гражданского кодекса Российской Федерации"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Постановление Семнадцатого арбитражного апелляционного суда № 17АП-2123/2012-АК от 05.04.2012 по делу № А60-57658/2011.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Постановление ФАС Волго-Вятского округа от 18.02.2013 г. по делу № А79-6246/2012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 xml:space="preserve">Постановление ФАС Восточно-Сибирского округа от 28.02.2012 по делу N А33-9342/2011. // СПС «Консультант Плюс». </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Постановление ФАС Дальневосточного округа от 08.07.2011 N Ф03-2144/2011 по делу N А51-19466/2010.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Постановление ФАС Поволжского округа от 07.06.2012 по делу N А65-27146/2011.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lastRenderedPageBreak/>
        <w:t>Постановление ФАС Поволжского округа от 07.06.2012 по делу N А65-27146/2011.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Постановление ФАС Северо-Западного округа от 28.12.2012 по делу N А05-3346/2012.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Постановление ФАС Уральского округа № Ф09-11267/09-С1 от 25.01.2010 по делу № А60-33211/2009-С10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Постановление ФАС Уральского округа № Ф09-3601/09-С1 от 01.06.2009 по делу № А60-40183/2008-С9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Постановление ФАС Уральского округа от 19.01.2012 N Ф09-9170/11 по делу N А76-4176/2011.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Путеводитель по корпоративным спорам. Вопросы судебной практики: Административная ответственность акционерных обществ за неисполнение ими требований по раскрытию информации // СПС «Консультант Плюс».</w:t>
      </w:r>
    </w:p>
    <w:p w:rsidR="00485C7F" w:rsidRPr="005D0129" w:rsidRDefault="00485C7F" w:rsidP="00485C7F">
      <w:pPr>
        <w:pStyle w:val="a3"/>
        <w:numPr>
          <w:ilvl w:val="0"/>
          <w:numId w:val="20"/>
        </w:numPr>
        <w:spacing w:line="240" w:lineRule="auto"/>
        <w:jc w:val="both"/>
        <w:rPr>
          <w:rFonts w:ascii="Times New Roman" w:hAnsi="Times New Roman" w:cs="Times New Roman"/>
          <w:sz w:val="28"/>
          <w:szCs w:val="28"/>
        </w:rPr>
      </w:pPr>
      <w:r w:rsidRPr="005D0129">
        <w:rPr>
          <w:rFonts w:ascii="Times New Roman" w:hAnsi="Times New Roman" w:cs="Times New Roman"/>
          <w:sz w:val="28"/>
          <w:szCs w:val="28"/>
        </w:rPr>
        <w:t>Решение Арбитражного суда Свердловской области от 16.09.2009 г. по делу №А60-33211/2009-С10 // СПС «Консультант Плюс».</w:t>
      </w:r>
    </w:p>
    <w:p w:rsidR="00485C7F" w:rsidRPr="005D0129" w:rsidRDefault="00485C7F" w:rsidP="00485C7F">
      <w:pPr>
        <w:pStyle w:val="a3"/>
        <w:spacing w:line="240" w:lineRule="auto"/>
        <w:jc w:val="both"/>
        <w:rPr>
          <w:rFonts w:ascii="Times New Roman" w:hAnsi="Times New Roman" w:cs="Times New Roman"/>
          <w:sz w:val="28"/>
          <w:szCs w:val="28"/>
        </w:rPr>
      </w:pPr>
    </w:p>
    <w:p w:rsidR="00485C7F" w:rsidRPr="00485C7F" w:rsidRDefault="00485C7F" w:rsidP="00485C7F"/>
    <w:p w:rsidR="00E37E62" w:rsidRPr="000160C5" w:rsidRDefault="00E37E62" w:rsidP="001E202B">
      <w:pPr>
        <w:pStyle w:val="TNR14"/>
        <w:rPr>
          <w:rFonts w:cs="Times New Roman"/>
          <w:szCs w:val="28"/>
          <w:lang w:val="ru-RU"/>
        </w:rPr>
      </w:pPr>
    </w:p>
    <w:p w:rsidR="00F5387D" w:rsidRPr="000160C5" w:rsidRDefault="00F5387D" w:rsidP="00895CD6">
      <w:pPr>
        <w:pStyle w:val="TNR14"/>
        <w:rPr>
          <w:rFonts w:cs="Times New Roman"/>
          <w:szCs w:val="28"/>
          <w:lang w:val="ru-RU"/>
        </w:rPr>
      </w:pPr>
    </w:p>
    <w:p w:rsidR="00DA302A" w:rsidRPr="000160C5" w:rsidRDefault="00DA302A" w:rsidP="00895CD6">
      <w:pPr>
        <w:pStyle w:val="TNR14"/>
        <w:rPr>
          <w:rFonts w:cs="Times New Roman"/>
          <w:szCs w:val="28"/>
          <w:lang w:val="ru-RU"/>
        </w:rPr>
      </w:pPr>
    </w:p>
    <w:p w:rsidR="00600D50" w:rsidRPr="000160C5" w:rsidRDefault="00600D50" w:rsidP="00895CD6">
      <w:pPr>
        <w:pStyle w:val="TNR14"/>
        <w:rPr>
          <w:rFonts w:cs="Times New Roman"/>
          <w:szCs w:val="28"/>
          <w:lang w:val="ru-RU"/>
        </w:rPr>
      </w:pPr>
    </w:p>
    <w:p w:rsidR="00D24B47" w:rsidRPr="000160C5" w:rsidRDefault="00D24B47">
      <w:pPr>
        <w:rPr>
          <w:rFonts w:ascii="Times New Roman" w:hAnsi="Times New Roman" w:cs="Times New Roman"/>
          <w:sz w:val="28"/>
          <w:szCs w:val="28"/>
        </w:rPr>
      </w:pPr>
      <w:r w:rsidRPr="000160C5">
        <w:rPr>
          <w:rFonts w:ascii="Times New Roman" w:hAnsi="Times New Roman" w:cs="Times New Roman"/>
          <w:sz w:val="28"/>
          <w:szCs w:val="28"/>
        </w:rPr>
        <w:br w:type="page"/>
      </w:r>
    </w:p>
    <w:p w:rsidR="00A55457" w:rsidRPr="000160C5" w:rsidRDefault="007B581D" w:rsidP="005901E8">
      <w:pPr>
        <w:pStyle w:val="1"/>
        <w:keepLines w:val="0"/>
        <w:widowControl w:val="0"/>
        <w:rPr>
          <w:rFonts w:cs="Times New Roman"/>
        </w:rPr>
      </w:pPr>
      <w:bookmarkStart w:id="28" w:name="_Приложение_1._Форма"/>
      <w:bookmarkStart w:id="29" w:name="_Приложение_2._Сравнительная"/>
      <w:bookmarkStart w:id="30" w:name="_Приложение_1._Сравнительная"/>
      <w:bookmarkStart w:id="31" w:name="_Toc356162068"/>
      <w:bookmarkEnd w:id="28"/>
      <w:bookmarkEnd w:id="29"/>
      <w:bookmarkEnd w:id="30"/>
      <w:r w:rsidRPr="000160C5">
        <w:rPr>
          <w:rFonts w:cs="Times New Roman"/>
        </w:rPr>
        <w:lastRenderedPageBreak/>
        <w:t xml:space="preserve">Приложение </w:t>
      </w:r>
      <w:r w:rsidR="00CB19E9" w:rsidRPr="000160C5">
        <w:rPr>
          <w:rFonts w:cs="Times New Roman"/>
        </w:rPr>
        <w:t>1</w:t>
      </w:r>
      <w:r w:rsidRPr="000160C5">
        <w:rPr>
          <w:rFonts w:cs="Times New Roman"/>
        </w:rPr>
        <w:t>. Сравнительная таблица «Содержание годового отчета эмитента в России и США»</w:t>
      </w:r>
      <w:bookmarkEnd w:id="31"/>
    </w:p>
    <w:tbl>
      <w:tblPr>
        <w:tblStyle w:val="af5"/>
        <w:tblW w:w="0" w:type="auto"/>
        <w:tblLook w:val="04A0"/>
      </w:tblPr>
      <w:tblGrid>
        <w:gridCol w:w="4784"/>
        <w:gridCol w:w="4786"/>
      </w:tblGrid>
      <w:tr w:rsidR="00636ECB" w:rsidRPr="000160C5" w:rsidTr="00636ECB">
        <w:trPr>
          <w:trHeight w:val="981"/>
        </w:trPr>
        <w:tc>
          <w:tcPr>
            <w:tcW w:w="4785" w:type="dxa"/>
          </w:tcPr>
          <w:p w:rsidR="00636ECB" w:rsidRPr="000160C5" w:rsidRDefault="00636ECB" w:rsidP="005901E8">
            <w:pPr>
              <w:keepNext/>
              <w:widowControl w:val="0"/>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Содержание годового отчета эмитента по российскому законодательству</w:t>
            </w:r>
            <w:r w:rsidR="00771EE8" w:rsidRPr="000160C5">
              <w:rPr>
                <w:rFonts w:ascii="Times New Roman" w:eastAsia="Times New Roman" w:hAnsi="Times New Roman" w:cs="Times New Roman"/>
                <w:sz w:val="28"/>
                <w:szCs w:val="28"/>
                <w:lang w:eastAsia="ru-RU"/>
              </w:rPr>
              <w:t xml:space="preserve"> (раздел 8.2 Положения о раскрытии информации)</w:t>
            </w:r>
          </w:p>
        </w:tc>
        <w:tc>
          <w:tcPr>
            <w:tcW w:w="4786" w:type="dxa"/>
          </w:tcPr>
          <w:p w:rsidR="00636ECB" w:rsidRPr="000160C5" w:rsidRDefault="00636ECB" w:rsidP="005901E8">
            <w:pPr>
              <w:keepNext/>
              <w:widowControl w:val="0"/>
              <w:jc w:val="both"/>
              <w:rPr>
                <w:rFonts w:ascii="Times New Roman" w:hAnsi="Times New Roman" w:cs="Times New Roman"/>
                <w:sz w:val="28"/>
                <w:szCs w:val="28"/>
              </w:rPr>
            </w:pPr>
            <w:r w:rsidRPr="000160C5">
              <w:rPr>
                <w:rFonts w:ascii="Times New Roman" w:eastAsia="Times New Roman" w:hAnsi="Times New Roman" w:cs="Times New Roman"/>
                <w:sz w:val="28"/>
                <w:szCs w:val="28"/>
                <w:lang w:eastAsia="ru-RU"/>
              </w:rPr>
              <w:t>Содержание годового отчета эмитента по законодательству США (</w:t>
            </w:r>
            <w:r w:rsidRPr="000160C5">
              <w:rPr>
                <w:rFonts w:ascii="Times New Roman" w:hAnsi="Times New Roman" w:cs="Times New Roman"/>
                <w:sz w:val="28"/>
                <w:szCs w:val="28"/>
                <w:lang w:val="en-US"/>
              </w:rPr>
              <w:t>Annual</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report</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form</w:t>
            </w:r>
            <w:r w:rsidRPr="000160C5">
              <w:rPr>
                <w:rFonts w:ascii="Times New Roman" w:hAnsi="Times New Roman" w:cs="Times New Roman"/>
                <w:sz w:val="28"/>
                <w:szCs w:val="28"/>
              </w:rPr>
              <w:t xml:space="preserve"> 10-</w:t>
            </w:r>
            <w:r w:rsidRPr="000160C5">
              <w:rPr>
                <w:rFonts w:ascii="Times New Roman" w:hAnsi="Times New Roman" w:cs="Times New Roman"/>
                <w:sz w:val="28"/>
                <w:szCs w:val="28"/>
                <w:lang w:val="en-US"/>
              </w:rPr>
              <w:t>K</w:t>
            </w:r>
            <w:r w:rsidRPr="000160C5">
              <w:rPr>
                <w:rFonts w:ascii="Times New Roman" w:hAnsi="Times New Roman" w:cs="Times New Roman"/>
                <w:sz w:val="28"/>
                <w:szCs w:val="28"/>
              </w:rPr>
              <w:t>)</w:t>
            </w:r>
          </w:p>
          <w:p w:rsidR="00636ECB" w:rsidRPr="000160C5" w:rsidRDefault="00636ECB" w:rsidP="005901E8">
            <w:pPr>
              <w:keepNext/>
              <w:widowControl w:val="0"/>
              <w:jc w:val="both"/>
              <w:rPr>
                <w:rFonts w:ascii="Times New Roman" w:hAnsi="Times New Roman" w:cs="Times New Roman"/>
                <w:sz w:val="28"/>
                <w:szCs w:val="28"/>
              </w:rPr>
            </w:pPr>
          </w:p>
        </w:tc>
      </w:tr>
      <w:tr w:rsidR="00636ECB" w:rsidRPr="000160C5" w:rsidTr="00636ECB">
        <w:trPr>
          <w:trHeight w:val="5235"/>
        </w:trPr>
        <w:tc>
          <w:tcPr>
            <w:tcW w:w="4785" w:type="dxa"/>
          </w:tcPr>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Годовой отчет акционерного общества должен содержать:</w:t>
            </w:r>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1) положение акционерного общества в отрасли;</w:t>
            </w:r>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2) приоритетные направления деятельности акционерного общества;</w:t>
            </w:r>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3) отчет совета директоров (наблюдательного совета) акционерного общества о результатах развития акционерного общества по приоритетным направлениям его деятельности;</w:t>
            </w:r>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4) информацию об объеме каждого из использованных акционерным обществом в отчетном году видов энергетических ресурсов в натуральном выражении и в денежном выражении;</w:t>
            </w:r>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5) перспективы развития акционерного общества;</w:t>
            </w:r>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6) отчет о выплате объявленных (начисленных) дивидендов по акциям акционерного общества;</w:t>
            </w:r>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7) описание основных факторов риска, связанных с деятельностью акционерного общества;</w:t>
            </w:r>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 xml:space="preserve">8) перечень совершенных акционерным обществом в отчетном году сделок, признаваемых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w:t>
            </w:r>
            <w:r w:rsidRPr="000160C5">
              <w:rPr>
                <w:rFonts w:ascii="Times New Roman" w:eastAsia="Times New Roman" w:hAnsi="Times New Roman" w:cs="Times New Roman"/>
                <w:sz w:val="28"/>
                <w:szCs w:val="28"/>
                <w:lang w:eastAsia="ru-RU"/>
              </w:rPr>
              <w:lastRenderedPageBreak/>
              <w:t>управления акционерного общества, принявшего решение о ее одобрении;</w:t>
            </w:r>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 xml:space="preserve">9) перечень совершенных акционерным обществом в отчетном году сделок, признаваемых  сделками, в совершении которых имелась </w:t>
            </w:r>
            <w:proofErr w:type="gramStart"/>
            <w:r w:rsidRPr="000160C5">
              <w:rPr>
                <w:rFonts w:ascii="Times New Roman" w:eastAsia="Times New Roman" w:hAnsi="Times New Roman" w:cs="Times New Roman"/>
                <w:sz w:val="28"/>
                <w:szCs w:val="28"/>
                <w:lang w:eastAsia="ru-RU"/>
              </w:rPr>
              <w:t>заинтересованность</w:t>
            </w:r>
            <w:proofErr w:type="gramEnd"/>
            <w:r w:rsidRPr="000160C5">
              <w:rPr>
                <w:rFonts w:ascii="Times New Roman" w:eastAsia="Times New Roman" w:hAnsi="Times New Roman" w:cs="Times New Roman"/>
                <w:sz w:val="28"/>
                <w:szCs w:val="28"/>
                <w:lang w:eastAsia="ru-RU"/>
              </w:rPr>
              <w:t xml:space="preserve"> и необходимость одобрения которых уполномоченным органом управления акционерного общества предусмотрена </w:t>
            </w:r>
            <w:r w:rsidR="00CB19E9" w:rsidRPr="000160C5">
              <w:rPr>
                <w:rFonts w:ascii="Times New Roman" w:eastAsia="Times New Roman" w:hAnsi="Times New Roman" w:cs="Times New Roman"/>
                <w:sz w:val="28"/>
                <w:szCs w:val="28"/>
                <w:lang w:eastAsia="ru-RU"/>
              </w:rPr>
              <w:t>нормативно</w:t>
            </w:r>
            <w:r w:rsidRPr="000160C5">
              <w:rPr>
                <w:rFonts w:ascii="Times New Roman" w:eastAsia="Times New Roman" w:hAnsi="Times New Roman" w:cs="Times New Roman"/>
                <w:sz w:val="28"/>
                <w:szCs w:val="28"/>
                <w:lang w:eastAsia="ru-RU"/>
              </w:rPr>
              <w:t>,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proofErr w:type="gramStart"/>
            <w:r w:rsidRPr="000160C5">
              <w:rPr>
                <w:rFonts w:ascii="Times New Roman" w:eastAsia="Times New Roman" w:hAnsi="Times New Roman" w:cs="Times New Roman"/>
                <w:sz w:val="28"/>
                <w:szCs w:val="28"/>
                <w:lang w:eastAsia="ru-RU"/>
              </w:rPr>
              <w:t>10) состав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году, и сведения о членах совета директоров (наблюдательного совета)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а в</w:t>
            </w:r>
            <w:proofErr w:type="gramEnd"/>
            <w:r w:rsidRPr="000160C5">
              <w:rPr>
                <w:rFonts w:ascii="Times New Roman" w:eastAsia="Times New Roman" w:hAnsi="Times New Roman" w:cs="Times New Roman"/>
                <w:sz w:val="28"/>
                <w:szCs w:val="28"/>
                <w:lang w:eastAsia="ru-RU"/>
              </w:rPr>
              <w:t xml:space="preserve"> </w:t>
            </w:r>
            <w:proofErr w:type="gramStart"/>
            <w:r w:rsidRPr="000160C5">
              <w:rPr>
                <w:rFonts w:ascii="Times New Roman" w:eastAsia="Times New Roman" w:hAnsi="Times New Roman" w:cs="Times New Roman"/>
                <w:sz w:val="28"/>
                <w:szCs w:val="28"/>
                <w:lang w:eastAsia="ru-RU"/>
              </w:rPr>
              <w:t>случае если в течение отчетного года имели место совершенные членами совета директоров (наблюдательного совета)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категорий (типа) и количества акций акционерного общества, являвшихся предметом сделки;</w:t>
            </w:r>
            <w:proofErr w:type="gramEnd"/>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proofErr w:type="gramStart"/>
            <w:r w:rsidRPr="000160C5">
              <w:rPr>
                <w:rFonts w:ascii="Times New Roman" w:eastAsia="Times New Roman" w:hAnsi="Times New Roman" w:cs="Times New Roman"/>
                <w:sz w:val="28"/>
                <w:szCs w:val="28"/>
                <w:lang w:eastAsia="ru-RU"/>
              </w:rPr>
              <w:t xml:space="preserve">11) сведения о лице, </w:t>
            </w:r>
            <w:r w:rsidRPr="000160C5">
              <w:rPr>
                <w:rFonts w:ascii="Times New Roman" w:eastAsia="Times New Roman" w:hAnsi="Times New Roman" w:cs="Times New Roman"/>
                <w:sz w:val="28"/>
                <w:szCs w:val="28"/>
                <w:lang w:eastAsia="ru-RU"/>
              </w:rPr>
              <w:lastRenderedPageBreak/>
              <w:t>занимающем должность (осуществляющем функции) единоличного исполнительного органа (управляющем, управляющей организации) акционерного общества, и членах коллегиального исполнительного органа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года имели место совершенные лицом, занимающим должность</w:t>
            </w:r>
            <w:proofErr w:type="gramEnd"/>
            <w:r w:rsidRPr="000160C5">
              <w:rPr>
                <w:rFonts w:ascii="Times New Roman" w:eastAsia="Times New Roman" w:hAnsi="Times New Roman" w:cs="Times New Roman"/>
                <w:sz w:val="28"/>
                <w:szCs w:val="28"/>
                <w:lang w:eastAsia="ru-RU"/>
              </w:rPr>
              <w:t xml:space="preserve"> (осуществляющим функции) единоличного исполнительного органа, и (или) членами коллегиального исполнительного органа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категории (типа) и количества акций акционерного общества, являвшихся предметом сделки;</w:t>
            </w:r>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vanish/>
                <w:sz w:val="28"/>
                <w:szCs w:val="28"/>
                <w:lang w:eastAsia="ru-RU"/>
              </w:rPr>
              <w:t> </w:t>
            </w:r>
            <w:r w:rsidRPr="000160C5">
              <w:rPr>
                <w:rFonts w:ascii="Times New Roman" w:eastAsia="Times New Roman" w:hAnsi="Times New Roman" w:cs="Times New Roman"/>
                <w:sz w:val="28"/>
                <w:szCs w:val="28"/>
                <w:lang w:eastAsia="ru-RU"/>
              </w:rPr>
              <w:t xml:space="preserve">12) критерии определения и размер вознаграждения (компенсации расходов) лица, занимающего должность единоличного исполнительного органа (управляющего, управляющей организации) акционерного общества, каждого члена коллегиального исполнительного органа акционерного общества и каждого члена совета директоров (наблюдательного совета) акционерного общества или общий размер вознаграждения (компенсации расходов) всех этих лиц, </w:t>
            </w:r>
            <w:r w:rsidRPr="000160C5">
              <w:rPr>
                <w:rFonts w:ascii="Times New Roman" w:eastAsia="Times New Roman" w:hAnsi="Times New Roman" w:cs="Times New Roman"/>
                <w:sz w:val="28"/>
                <w:szCs w:val="28"/>
                <w:lang w:eastAsia="ru-RU"/>
              </w:rPr>
              <w:lastRenderedPageBreak/>
              <w:t>выплаченного в течение отчетного года;</w:t>
            </w:r>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vanish/>
                <w:sz w:val="28"/>
                <w:szCs w:val="28"/>
                <w:lang w:eastAsia="ru-RU"/>
              </w:rPr>
              <w:t> </w:t>
            </w:r>
            <w:proofErr w:type="gramStart"/>
            <w:r w:rsidRPr="000160C5">
              <w:rPr>
                <w:rFonts w:ascii="Times New Roman" w:eastAsia="Times New Roman" w:hAnsi="Times New Roman" w:cs="Times New Roman"/>
                <w:sz w:val="28"/>
                <w:szCs w:val="28"/>
                <w:lang w:eastAsia="ru-RU"/>
              </w:rPr>
              <w:t>13) сведения о соблюдении акционерным обществом рекомендаций Кодекса корпоративного поведения, а если ценные бумаги акционерного общества включены в список ценных бумаг, допущенных к торгам на организаторе торговли на рынке ценных бумаг, и все или отдельные рекомендации Кодекса корпоративного поведения этим акционерным обществом не соблюдаются - также объяснения причин, по которым такие рекомендации указанным акционерным обществом не соблюдаются;</w:t>
            </w:r>
            <w:proofErr w:type="gramEnd"/>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14) иную информацию, предусмотренную уставом акционерного общества или иным внутренним документом акционерного общества.</w:t>
            </w:r>
          </w:p>
          <w:p w:rsidR="00636ECB" w:rsidRPr="000160C5" w:rsidRDefault="00771EE8" w:rsidP="005901E8">
            <w:pPr>
              <w:keepNext/>
              <w:widowControl w:val="0"/>
              <w:ind w:firstLine="539"/>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 xml:space="preserve">15) </w:t>
            </w:r>
            <w:r w:rsidR="00636ECB" w:rsidRPr="000160C5">
              <w:rPr>
                <w:rFonts w:ascii="Times New Roman" w:eastAsia="Times New Roman" w:hAnsi="Times New Roman" w:cs="Times New Roman"/>
                <w:sz w:val="28"/>
                <w:szCs w:val="28"/>
                <w:lang w:eastAsia="ru-RU"/>
              </w:rPr>
              <w:t>Если по окончании второго финансового года или каждого последующего финансового года стоимость чистых активов акционерного общества окажется меньше его уставного капитала, годовой отчет акционерного общества должен включать раздел о состоянии его чистых активов.</w:t>
            </w:r>
          </w:p>
          <w:p w:rsidR="00636ECB" w:rsidRPr="000160C5" w:rsidRDefault="00636ECB" w:rsidP="005901E8">
            <w:pPr>
              <w:keepNext/>
              <w:widowControl w:val="0"/>
              <w:ind w:firstLine="539"/>
              <w:jc w:val="both"/>
              <w:rPr>
                <w:rFonts w:ascii="Times New Roman" w:eastAsia="Times New Roman" w:hAnsi="Times New Roman" w:cs="Times New Roman"/>
                <w:sz w:val="28"/>
                <w:szCs w:val="28"/>
                <w:lang w:eastAsia="ru-RU"/>
              </w:rPr>
            </w:pPr>
          </w:p>
        </w:tc>
        <w:tc>
          <w:tcPr>
            <w:tcW w:w="4786" w:type="dxa"/>
          </w:tcPr>
          <w:p w:rsidR="00636ECB" w:rsidRPr="000160C5" w:rsidRDefault="00636ECB" w:rsidP="005901E8">
            <w:pPr>
              <w:keepNext/>
              <w:widowControl w:val="0"/>
              <w:jc w:val="both"/>
              <w:rPr>
                <w:rFonts w:ascii="Times New Roman" w:hAnsi="Times New Roman" w:cs="Times New Roman"/>
                <w:sz w:val="28"/>
                <w:szCs w:val="28"/>
              </w:rPr>
            </w:pPr>
            <w:r w:rsidRPr="000160C5">
              <w:rPr>
                <w:rFonts w:ascii="Times New Roman" w:hAnsi="Times New Roman" w:cs="Times New Roman"/>
                <w:sz w:val="28"/>
                <w:szCs w:val="28"/>
              </w:rPr>
              <w:lastRenderedPageBreak/>
              <w:t>Общая информация об эмитенте и ценных бумагах;</w:t>
            </w:r>
          </w:p>
          <w:p w:rsidR="00636ECB" w:rsidRPr="000160C5" w:rsidRDefault="00636ECB" w:rsidP="005901E8">
            <w:pPr>
              <w:pStyle w:val="a3"/>
              <w:keepNext/>
              <w:widowControl w:val="0"/>
              <w:numPr>
                <w:ilvl w:val="0"/>
                <w:numId w:val="5"/>
              </w:numPr>
              <w:jc w:val="both"/>
              <w:rPr>
                <w:rFonts w:ascii="Times New Roman" w:hAnsi="Times New Roman" w:cs="Times New Roman"/>
                <w:sz w:val="28"/>
                <w:szCs w:val="28"/>
              </w:rPr>
            </w:pPr>
            <w:r w:rsidRPr="000160C5">
              <w:rPr>
                <w:rFonts w:ascii="Times New Roman" w:hAnsi="Times New Roman" w:cs="Times New Roman"/>
                <w:sz w:val="28"/>
                <w:szCs w:val="28"/>
              </w:rPr>
              <w:t>Часть 1</w:t>
            </w:r>
          </w:p>
          <w:p w:rsidR="00636ECB" w:rsidRPr="000160C5" w:rsidRDefault="00636ECB" w:rsidP="005901E8">
            <w:pPr>
              <w:pStyle w:val="a3"/>
              <w:keepNext/>
              <w:widowControl w:val="0"/>
              <w:numPr>
                <w:ilvl w:val="1"/>
                <w:numId w:val="5"/>
              </w:numPr>
              <w:jc w:val="both"/>
              <w:rPr>
                <w:rFonts w:ascii="Times New Roman" w:eastAsia="Times New Roman" w:hAnsi="Times New Roman" w:cs="Times New Roman"/>
                <w:sz w:val="28"/>
                <w:szCs w:val="28"/>
                <w:lang w:eastAsia="ru-RU"/>
              </w:rPr>
            </w:pPr>
            <w:proofErr w:type="gramStart"/>
            <w:r w:rsidRPr="000160C5">
              <w:rPr>
                <w:rFonts w:ascii="Times New Roman" w:eastAsia="Times New Roman" w:hAnsi="Times New Roman" w:cs="Times New Roman"/>
                <w:sz w:val="28"/>
                <w:szCs w:val="28"/>
                <w:lang w:eastAsia="ru-RU"/>
              </w:rPr>
              <w:t>Общее развитие бизнеса за финансовый год, финансовая информация о сегменте рынка (поступления от контрагентов, отчет о прибыли и убытках, а также величина совокупных активов), подробное описание осуществляемой и планируемой деятельности, структура финансовых показателей в зависимости от географического положения контрагента);</w:t>
            </w:r>
            <w:proofErr w:type="gramEnd"/>
          </w:p>
          <w:p w:rsidR="00636ECB" w:rsidRPr="000160C5" w:rsidRDefault="00636ECB" w:rsidP="005901E8">
            <w:pPr>
              <w:pStyle w:val="a3"/>
              <w:keepNext/>
              <w:widowControl w:val="0"/>
              <w:numPr>
                <w:ilvl w:val="1"/>
                <w:numId w:val="5"/>
              </w:numPr>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Факторы риска, связанные с обращающимися ценными бумагами эмитента;</w:t>
            </w:r>
          </w:p>
          <w:p w:rsidR="00636ECB" w:rsidRPr="000160C5" w:rsidRDefault="00636ECB" w:rsidP="005901E8">
            <w:pPr>
              <w:pStyle w:val="a3"/>
              <w:keepNext/>
              <w:widowControl w:val="0"/>
              <w:numPr>
                <w:ilvl w:val="1"/>
                <w:numId w:val="5"/>
              </w:numPr>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 xml:space="preserve">Краткое описание основных объектов недвижимости, месторождения полезных ископаемых, а также иное имущество эмитента и его дочерних компаний, имеющих существенное значение для бизнеса, и титул держания указанного имущества;  </w:t>
            </w:r>
          </w:p>
          <w:p w:rsidR="00636ECB" w:rsidRPr="000160C5" w:rsidRDefault="00636ECB" w:rsidP="005901E8">
            <w:pPr>
              <w:pStyle w:val="a3"/>
              <w:keepNext/>
              <w:widowControl w:val="0"/>
              <w:numPr>
                <w:ilvl w:val="1"/>
                <w:numId w:val="5"/>
              </w:numPr>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Краткая информация о существенных текущих судебных и административных процессах, в которых эмитент является участником;</w:t>
            </w:r>
          </w:p>
          <w:p w:rsidR="00636ECB" w:rsidRPr="000160C5" w:rsidRDefault="00636ECB" w:rsidP="005901E8">
            <w:pPr>
              <w:pStyle w:val="a3"/>
              <w:keepNext/>
              <w:widowControl w:val="0"/>
              <w:numPr>
                <w:ilvl w:val="1"/>
                <w:numId w:val="5"/>
              </w:numPr>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Информация по добыче полезных ископаемых (если применимо);</w:t>
            </w:r>
          </w:p>
          <w:p w:rsidR="00636ECB" w:rsidRPr="000160C5" w:rsidRDefault="00636ECB" w:rsidP="005901E8">
            <w:pPr>
              <w:pStyle w:val="a3"/>
              <w:keepNext/>
              <w:widowControl w:val="0"/>
              <w:numPr>
                <w:ilvl w:val="0"/>
                <w:numId w:val="5"/>
              </w:numPr>
              <w:jc w:val="both"/>
              <w:rPr>
                <w:rFonts w:ascii="Times New Roman" w:hAnsi="Times New Roman" w:cs="Times New Roman"/>
                <w:sz w:val="28"/>
                <w:szCs w:val="28"/>
              </w:rPr>
            </w:pPr>
            <w:r w:rsidRPr="000160C5">
              <w:rPr>
                <w:rFonts w:ascii="Times New Roman" w:hAnsi="Times New Roman" w:cs="Times New Roman"/>
                <w:sz w:val="28"/>
                <w:szCs w:val="28"/>
              </w:rPr>
              <w:t>Часть 2</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lastRenderedPageBreak/>
              <w:t>Описание рынка, на котором обращаются ценные бумаги эмитента, примерное количество держателей ценных бумаг, информация об объявленных и выплаченных дивидендах за прошедший финансовый год,  а также информация о продаже ценных бумаг, не подлежащих регистрации в Комиссии США;</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 xml:space="preserve"> Информация о выкупе ценных бумаг, совершенных эмитентом;</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Финансовая информация, отражающая существенные тенденции в финансовом положении эмитента, а также результаты деятельности эмитента;</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Представленные суждения и мнение руководства относительно финансового положения эмитента и результатов деятельности;</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Количественные и качественные показатели факторов риска рынка;</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Финансовый отчет о деятельности эмитента и дополнительная финансовая информация;</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Сведения о смене независимого бухгалтера, а также о любых разрешенных и неразрешенных разногласиях с предыдущим бухгалтером относительно любого вопроса по стандартам бухгалтерского учета;</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 xml:space="preserve">Заключение компетентного должностного лица относительно эффективности </w:t>
            </w:r>
            <w:r w:rsidRPr="000160C5">
              <w:rPr>
                <w:rFonts w:ascii="Times New Roman" w:hAnsi="Times New Roman" w:cs="Times New Roman"/>
                <w:sz w:val="28"/>
                <w:szCs w:val="28"/>
              </w:rPr>
              <w:lastRenderedPageBreak/>
              <w:t xml:space="preserve">контроля и процедуры раскрытия информации, а также отчет руководства об осуществлении внутреннего </w:t>
            </w:r>
            <w:proofErr w:type="gramStart"/>
            <w:r w:rsidRPr="000160C5">
              <w:rPr>
                <w:rFonts w:ascii="Times New Roman" w:hAnsi="Times New Roman" w:cs="Times New Roman"/>
                <w:sz w:val="28"/>
                <w:szCs w:val="28"/>
              </w:rPr>
              <w:t>контроля за</w:t>
            </w:r>
            <w:proofErr w:type="gramEnd"/>
            <w:r w:rsidRPr="000160C5">
              <w:rPr>
                <w:rFonts w:ascii="Times New Roman" w:hAnsi="Times New Roman" w:cs="Times New Roman"/>
                <w:sz w:val="28"/>
                <w:szCs w:val="28"/>
              </w:rPr>
              <w:t xml:space="preserve"> финансовой отчетностью;</w:t>
            </w:r>
          </w:p>
          <w:p w:rsidR="00636ECB" w:rsidRPr="000160C5" w:rsidRDefault="00636ECB" w:rsidP="005901E8">
            <w:pPr>
              <w:pStyle w:val="a3"/>
              <w:keepNext/>
              <w:widowControl w:val="0"/>
              <w:numPr>
                <w:ilvl w:val="0"/>
                <w:numId w:val="5"/>
              </w:numPr>
              <w:jc w:val="both"/>
              <w:rPr>
                <w:rFonts w:ascii="Times New Roman" w:hAnsi="Times New Roman" w:cs="Times New Roman"/>
                <w:sz w:val="28"/>
                <w:szCs w:val="28"/>
              </w:rPr>
            </w:pPr>
            <w:r w:rsidRPr="000160C5">
              <w:rPr>
                <w:rFonts w:ascii="Times New Roman" w:hAnsi="Times New Roman" w:cs="Times New Roman"/>
                <w:sz w:val="28"/>
                <w:szCs w:val="28"/>
              </w:rPr>
              <w:t>Часть 3</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 xml:space="preserve"> Список директоров,  должностных лиц и ключевых сотрудников эмитента с кратким указанием их опыта в руководящей должности, описание наличия родственных связей между ними, а также их участие в судебных процессах;</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Соблюдение требований Закона о торговле ценными бумагами 1934 года о представлении отчетов директорами и должностными лицами эмитента, а также акционерами, держащими более 10% акций;</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 xml:space="preserve">Сведения о принятии/непринятии кодекса этики должностных лиц эмитента с указанием причин неприятия (если применимо); </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Сведения о вознаграждениях директоров и должностных лиц эмитента;</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 xml:space="preserve">Информация о плане компенсационных выплат должностным лицам ценными бумагами, а также сведения о </w:t>
            </w:r>
            <w:proofErr w:type="spellStart"/>
            <w:r w:rsidRPr="000160C5">
              <w:rPr>
                <w:rFonts w:ascii="Times New Roman" w:hAnsi="Times New Roman" w:cs="Times New Roman"/>
                <w:sz w:val="28"/>
                <w:szCs w:val="28"/>
              </w:rPr>
              <w:t>бенефициарных</w:t>
            </w:r>
            <w:proofErr w:type="spellEnd"/>
            <w:r w:rsidRPr="000160C5">
              <w:rPr>
                <w:rFonts w:ascii="Times New Roman" w:hAnsi="Times New Roman" w:cs="Times New Roman"/>
                <w:sz w:val="28"/>
                <w:szCs w:val="28"/>
              </w:rPr>
              <w:t xml:space="preserve"> владельцах ценных бумаг эмитента, держащих более 5% ценных бумаг, и должностных лиц эмитента, являющихся держател</w:t>
            </w:r>
            <w:r w:rsidR="00E90C23" w:rsidRPr="000160C5">
              <w:rPr>
                <w:rFonts w:ascii="Times New Roman" w:hAnsi="Times New Roman" w:cs="Times New Roman"/>
                <w:sz w:val="28"/>
                <w:szCs w:val="28"/>
              </w:rPr>
              <w:t>я</w:t>
            </w:r>
            <w:r w:rsidRPr="000160C5">
              <w:rPr>
                <w:rFonts w:ascii="Times New Roman" w:hAnsi="Times New Roman" w:cs="Times New Roman"/>
                <w:sz w:val="28"/>
                <w:szCs w:val="28"/>
              </w:rPr>
              <w:t>м</w:t>
            </w:r>
            <w:r w:rsidR="00E90C23" w:rsidRPr="000160C5">
              <w:rPr>
                <w:rFonts w:ascii="Times New Roman" w:hAnsi="Times New Roman" w:cs="Times New Roman"/>
                <w:sz w:val="28"/>
                <w:szCs w:val="28"/>
              </w:rPr>
              <w:t>и</w:t>
            </w:r>
            <w:r w:rsidRPr="000160C5">
              <w:rPr>
                <w:rFonts w:ascii="Times New Roman" w:hAnsi="Times New Roman" w:cs="Times New Roman"/>
                <w:sz w:val="28"/>
                <w:szCs w:val="28"/>
              </w:rPr>
              <w:t xml:space="preserve"> ценных бумаг, информация о возможной смене контроля;</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lastRenderedPageBreak/>
              <w:t>Информация о совершенных сделках с заинтересованностью на сумму более 120 000 долларов;</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 xml:space="preserve">Сведения о надлежащем корпоративном управлении: информация о независимости директоров, о собраниях совета директоров, о процессе назначения директоров, об аудиторском комитете и его финансовом эксперте, о комитете по оплате труда, о порядке взаимодействия с акционерами,  о структуре управления совета директоров и его роль в </w:t>
            </w:r>
            <w:proofErr w:type="gramStart"/>
            <w:r w:rsidRPr="000160C5">
              <w:rPr>
                <w:rFonts w:ascii="Times New Roman" w:hAnsi="Times New Roman" w:cs="Times New Roman"/>
                <w:sz w:val="28"/>
                <w:szCs w:val="28"/>
              </w:rPr>
              <w:t>риск-контроле</w:t>
            </w:r>
            <w:proofErr w:type="gramEnd"/>
            <w:r w:rsidRPr="000160C5">
              <w:rPr>
                <w:rFonts w:ascii="Times New Roman" w:hAnsi="Times New Roman" w:cs="Times New Roman"/>
                <w:sz w:val="28"/>
                <w:szCs w:val="28"/>
              </w:rPr>
              <w:t>;</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Сведения о вознаграждениях, уплаченных эмитентом за бухгалтерские и аудиторские услуги, связанные с аудитом услуги, налоговое консультирование, прочие услуги, оказанные главным бухгалтером и пр.;</w:t>
            </w:r>
          </w:p>
          <w:p w:rsidR="00636ECB" w:rsidRPr="000160C5" w:rsidRDefault="00636ECB" w:rsidP="005901E8">
            <w:pPr>
              <w:pStyle w:val="a3"/>
              <w:keepNext/>
              <w:widowControl w:val="0"/>
              <w:numPr>
                <w:ilvl w:val="0"/>
                <w:numId w:val="5"/>
              </w:numPr>
              <w:jc w:val="both"/>
              <w:rPr>
                <w:rFonts w:ascii="Times New Roman" w:hAnsi="Times New Roman" w:cs="Times New Roman"/>
                <w:sz w:val="28"/>
                <w:szCs w:val="28"/>
              </w:rPr>
            </w:pPr>
            <w:r w:rsidRPr="000160C5">
              <w:rPr>
                <w:rFonts w:ascii="Times New Roman" w:hAnsi="Times New Roman" w:cs="Times New Roman"/>
                <w:sz w:val="28"/>
                <w:szCs w:val="28"/>
              </w:rPr>
              <w:t>Часть 4</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Финансовые отчеты и приложения к ним;</w:t>
            </w:r>
          </w:p>
          <w:p w:rsidR="00636ECB" w:rsidRPr="000160C5" w:rsidRDefault="00636ECB" w:rsidP="005901E8">
            <w:pPr>
              <w:pStyle w:val="a3"/>
              <w:keepNext/>
              <w:widowControl w:val="0"/>
              <w:numPr>
                <w:ilvl w:val="0"/>
                <w:numId w:val="5"/>
              </w:numPr>
              <w:jc w:val="both"/>
              <w:rPr>
                <w:rFonts w:ascii="Times New Roman" w:hAnsi="Times New Roman" w:cs="Times New Roman"/>
                <w:sz w:val="28"/>
                <w:szCs w:val="28"/>
              </w:rPr>
            </w:pPr>
            <w:r w:rsidRPr="000160C5">
              <w:rPr>
                <w:rFonts w:ascii="Times New Roman" w:hAnsi="Times New Roman" w:cs="Times New Roman"/>
                <w:sz w:val="28"/>
                <w:szCs w:val="28"/>
              </w:rPr>
              <w:t>Дополнительная информация</w:t>
            </w:r>
          </w:p>
          <w:p w:rsidR="00636ECB" w:rsidRPr="000160C5" w:rsidRDefault="00636ECB" w:rsidP="005901E8">
            <w:pPr>
              <w:pStyle w:val="a3"/>
              <w:keepNext/>
              <w:widowControl w:val="0"/>
              <w:numPr>
                <w:ilvl w:val="1"/>
                <w:numId w:val="5"/>
              </w:numPr>
              <w:jc w:val="both"/>
              <w:rPr>
                <w:rFonts w:ascii="Times New Roman" w:hAnsi="Times New Roman" w:cs="Times New Roman"/>
                <w:sz w:val="28"/>
                <w:szCs w:val="28"/>
              </w:rPr>
            </w:pPr>
            <w:r w:rsidRPr="000160C5">
              <w:rPr>
                <w:rFonts w:ascii="Times New Roman" w:hAnsi="Times New Roman" w:cs="Times New Roman"/>
                <w:sz w:val="28"/>
                <w:szCs w:val="28"/>
              </w:rPr>
              <w:t xml:space="preserve">Информация о том, был ли направлен годовой отчет и материалы о предстоящем годовом собрании акционерам с приложением соответствующих материалов к форме годового отчета. </w:t>
            </w:r>
          </w:p>
        </w:tc>
      </w:tr>
    </w:tbl>
    <w:p w:rsidR="007B581D" w:rsidRPr="000160C5" w:rsidRDefault="007B581D" w:rsidP="005901E8">
      <w:pPr>
        <w:keepNext/>
        <w:widowControl w:val="0"/>
        <w:rPr>
          <w:rFonts w:ascii="Times New Roman" w:hAnsi="Times New Roman" w:cs="Times New Roman"/>
          <w:sz w:val="28"/>
          <w:szCs w:val="28"/>
        </w:rPr>
      </w:pPr>
    </w:p>
    <w:p w:rsidR="003774C8" w:rsidRPr="000160C5" w:rsidRDefault="003774C8" w:rsidP="005901E8">
      <w:pPr>
        <w:keepNext/>
        <w:widowControl w:val="0"/>
        <w:spacing w:after="0" w:line="360" w:lineRule="auto"/>
        <w:ind w:firstLine="709"/>
        <w:contextualSpacing/>
        <w:jc w:val="both"/>
        <w:rPr>
          <w:rFonts w:ascii="Times New Roman" w:hAnsi="Times New Roman" w:cs="Times New Roman"/>
          <w:sz w:val="28"/>
          <w:szCs w:val="28"/>
        </w:rPr>
      </w:pPr>
    </w:p>
    <w:p w:rsidR="00CD56A8" w:rsidRPr="000160C5" w:rsidRDefault="00CD56A8" w:rsidP="005901E8">
      <w:pPr>
        <w:keepNext/>
        <w:widowControl w:val="0"/>
        <w:rPr>
          <w:rFonts w:ascii="Times New Roman" w:eastAsiaTheme="majorEastAsia" w:hAnsi="Times New Roman" w:cs="Times New Roman"/>
          <w:b/>
          <w:bCs/>
          <w:color w:val="365F91" w:themeColor="accent1" w:themeShade="BF"/>
          <w:sz w:val="28"/>
          <w:szCs w:val="28"/>
        </w:rPr>
      </w:pPr>
      <w:r w:rsidRPr="000160C5">
        <w:rPr>
          <w:rFonts w:ascii="Times New Roman" w:hAnsi="Times New Roman" w:cs="Times New Roman"/>
          <w:sz w:val="28"/>
          <w:szCs w:val="28"/>
        </w:rPr>
        <w:br w:type="page"/>
      </w:r>
    </w:p>
    <w:p w:rsidR="00CD56A8" w:rsidRPr="000160C5" w:rsidRDefault="00CD56A8" w:rsidP="005901E8">
      <w:pPr>
        <w:pStyle w:val="1"/>
        <w:keepLines w:val="0"/>
        <w:widowControl w:val="0"/>
        <w:rPr>
          <w:rFonts w:cs="Times New Roman"/>
        </w:rPr>
      </w:pPr>
      <w:bookmarkStart w:id="32" w:name="_Приложение_3._Форма"/>
      <w:bookmarkStart w:id="33" w:name="_Приложение_4._Сравнительная"/>
      <w:bookmarkStart w:id="34" w:name="_Toc356162069"/>
      <w:bookmarkEnd w:id="32"/>
      <w:bookmarkEnd w:id="33"/>
      <w:r w:rsidRPr="000160C5">
        <w:rPr>
          <w:rFonts w:cs="Times New Roman"/>
        </w:rPr>
        <w:lastRenderedPageBreak/>
        <w:t xml:space="preserve">Приложение </w:t>
      </w:r>
      <w:r w:rsidR="006153DF" w:rsidRPr="000160C5">
        <w:rPr>
          <w:rFonts w:cs="Times New Roman"/>
        </w:rPr>
        <w:t>2</w:t>
      </w:r>
      <w:r w:rsidRPr="000160C5">
        <w:rPr>
          <w:rFonts w:cs="Times New Roman"/>
        </w:rPr>
        <w:t>. Сравнительная таблица «Содержание квартального отчета эмитента в России и США»</w:t>
      </w:r>
      <w:bookmarkEnd w:id="34"/>
    </w:p>
    <w:tbl>
      <w:tblPr>
        <w:tblStyle w:val="af5"/>
        <w:tblW w:w="0" w:type="auto"/>
        <w:tblLook w:val="04A0"/>
      </w:tblPr>
      <w:tblGrid>
        <w:gridCol w:w="5296"/>
        <w:gridCol w:w="4274"/>
      </w:tblGrid>
      <w:tr w:rsidR="00B44308" w:rsidRPr="000160C5" w:rsidTr="00915920">
        <w:tc>
          <w:tcPr>
            <w:tcW w:w="4785" w:type="dxa"/>
          </w:tcPr>
          <w:p w:rsidR="00B44308" w:rsidRPr="000160C5" w:rsidRDefault="00B44308" w:rsidP="00915920">
            <w:pPr>
              <w:pStyle w:val="TNR14"/>
              <w:spacing w:line="240" w:lineRule="auto"/>
              <w:rPr>
                <w:rFonts w:cs="Times New Roman"/>
                <w:szCs w:val="28"/>
                <w:lang w:val="ru-RU"/>
              </w:rPr>
            </w:pPr>
            <w:r w:rsidRPr="000160C5">
              <w:rPr>
                <w:rFonts w:eastAsia="Times New Roman" w:cs="Times New Roman"/>
                <w:szCs w:val="28"/>
                <w:lang w:val="ru-RU" w:eastAsia="ru-RU"/>
              </w:rPr>
              <w:t>Содержание ежеквартального отчета эмитента по российскому законодательству (глава 5, Приложение 3 Положения о раскрытии информации)</w:t>
            </w:r>
          </w:p>
        </w:tc>
        <w:tc>
          <w:tcPr>
            <w:tcW w:w="4786" w:type="dxa"/>
          </w:tcPr>
          <w:p w:rsidR="00B44308" w:rsidRPr="000160C5" w:rsidRDefault="00B44308" w:rsidP="002E6BD5">
            <w:pPr>
              <w:pStyle w:val="TNR14"/>
              <w:spacing w:line="240" w:lineRule="auto"/>
              <w:rPr>
                <w:rFonts w:cs="Times New Roman"/>
                <w:szCs w:val="28"/>
                <w:lang w:val="ru-RU"/>
              </w:rPr>
            </w:pPr>
            <w:r w:rsidRPr="000160C5">
              <w:rPr>
                <w:rFonts w:cs="Times New Roman"/>
                <w:szCs w:val="28"/>
                <w:lang w:val="ru-RU"/>
              </w:rPr>
              <w:t>Содержание квартального отчета эмитента по законодательству США (</w:t>
            </w:r>
            <w:r w:rsidR="002E6BD5" w:rsidRPr="000160C5">
              <w:rPr>
                <w:rFonts w:cs="Times New Roman"/>
                <w:szCs w:val="28"/>
              </w:rPr>
              <w:t>Quarterly</w:t>
            </w:r>
            <w:r w:rsidRPr="000160C5">
              <w:rPr>
                <w:rFonts w:cs="Times New Roman"/>
                <w:szCs w:val="28"/>
                <w:lang w:val="ru-RU"/>
              </w:rPr>
              <w:t xml:space="preserve"> </w:t>
            </w:r>
            <w:r w:rsidRPr="000160C5">
              <w:rPr>
                <w:rFonts w:cs="Times New Roman"/>
                <w:szCs w:val="28"/>
              </w:rPr>
              <w:t>report</w:t>
            </w:r>
            <w:r w:rsidRPr="000160C5">
              <w:rPr>
                <w:rFonts w:cs="Times New Roman"/>
                <w:szCs w:val="28"/>
                <w:lang w:val="ru-RU"/>
              </w:rPr>
              <w:t xml:space="preserve">, </w:t>
            </w:r>
            <w:r w:rsidRPr="000160C5">
              <w:rPr>
                <w:rFonts w:cs="Times New Roman"/>
                <w:szCs w:val="28"/>
              </w:rPr>
              <w:t>form</w:t>
            </w:r>
            <w:r w:rsidRPr="000160C5">
              <w:rPr>
                <w:rFonts w:cs="Times New Roman"/>
                <w:szCs w:val="28"/>
                <w:lang w:val="ru-RU"/>
              </w:rPr>
              <w:t xml:space="preserve"> </w:t>
            </w:r>
            <w:r w:rsidR="002E6BD5" w:rsidRPr="000160C5">
              <w:rPr>
                <w:rFonts w:cs="Times New Roman"/>
                <w:szCs w:val="28"/>
                <w:lang w:val="ru-RU"/>
              </w:rPr>
              <w:t>8</w:t>
            </w:r>
            <w:r w:rsidRPr="000160C5">
              <w:rPr>
                <w:rFonts w:cs="Times New Roman"/>
                <w:szCs w:val="28"/>
                <w:lang w:val="ru-RU"/>
              </w:rPr>
              <w:t>-</w:t>
            </w:r>
            <w:r w:rsidRPr="000160C5">
              <w:rPr>
                <w:rFonts w:cs="Times New Roman"/>
                <w:szCs w:val="28"/>
              </w:rPr>
              <w:t>Q</w:t>
            </w:r>
            <w:r w:rsidRPr="000160C5">
              <w:rPr>
                <w:rFonts w:cs="Times New Roman"/>
                <w:szCs w:val="28"/>
                <w:lang w:val="ru-RU"/>
              </w:rPr>
              <w:t>)</w:t>
            </w:r>
          </w:p>
        </w:tc>
      </w:tr>
      <w:tr w:rsidR="00B44308" w:rsidRPr="000160C5" w:rsidTr="009E7EB6">
        <w:trPr>
          <w:trHeight w:val="3959"/>
        </w:trPr>
        <w:tc>
          <w:tcPr>
            <w:tcW w:w="4785" w:type="dxa"/>
          </w:tcPr>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I. Краткие сведения о лицах, входящих в состав органов</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управления эмитента, сведения о банковских счетах,</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об аудиторе, оценщике и о финансовом консультанте эмитента,</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а также об иных лицах, подписавших ежеквартальный отчет:</w:t>
            </w:r>
          </w:p>
          <w:p w:rsidR="00B44308" w:rsidRPr="000160C5" w:rsidRDefault="00B44308" w:rsidP="00B44308">
            <w:pPr>
              <w:pStyle w:val="TNR14"/>
              <w:numPr>
                <w:ilvl w:val="0"/>
                <w:numId w:val="6"/>
              </w:numPr>
              <w:spacing w:line="240" w:lineRule="auto"/>
              <w:rPr>
                <w:rFonts w:cs="Times New Roman"/>
                <w:szCs w:val="28"/>
                <w:lang w:val="ru-RU"/>
              </w:rPr>
            </w:pPr>
            <w:r w:rsidRPr="000160C5">
              <w:rPr>
                <w:rFonts w:cs="Times New Roman"/>
                <w:szCs w:val="28"/>
                <w:lang w:val="ru-RU"/>
              </w:rPr>
              <w:t>Лица, входящие в состав органов управления эмитента</w:t>
            </w:r>
          </w:p>
          <w:p w:rsidR="00B44308" w:rsidRPr="000160C5" w:rsidRDefault="00B44308" w:rsidP="00B44308">
            <w:pPr>
              <w:pStyle w:val="TNR14"/>
              <w:numPr>
                <w:ilvl w:val="0"/>
                <w:numId w:val="6"/>
              </w:numPr>
              <w:spacing w:line="240" w:lineRule="auto"/>
              <w:rPr>
                <w:rFonts w:cs="Times New Roman"/>
                <w:szCs w:val="28"/>
                <w:lang w:val="ru-RU"/>
              </w:rPr>
            </w:pPr>
            <w:r w:rsidRPr="000160C5">
              <w:rPr>
                <w:rFonts w:cs="Times New Roman"/>
                <w:szCs w:val="28"/>
                <w:lang w:val="ru-RU"/>
              </w:rPr>
              <w:t>Сведения о банковских счетах эмитента</w:t>
            </w:r>
          </w:p>
          <w:p w:rsidR="00B44308" w:rsidRPr="000160C5" w:rsidRDefault="00B44308" w:rsidP="00B44308">
            <w:pPr>
              <w:pStyle w:val="TNR14"/>
              <w:numPr>
                <w:ilvl w:val="0"/>
                <w:numId w:val="6"/>
              </w:numPr>
              <w:spacing w:line="240" w:lineRule="auto"/>
              <w:rPr>
                <w:rFonts w:cs="Times New Roman"/>
                <w:szCs w:val="28"/>
                <w:lang w:val="ru-RU"/>
              </w:rPr>
            </w:pPr>
            <w:r w:rsidRPr="000160C5">
              <w:rPr>
                <w:rFonts w:cs="Times New Roman"/>
                <w:szCs w:val="28"/>
                <w:lang w:val="ru-RU"/>
              </w:rPr>
              <w:t>Сведения об аудиторе (аудиторах) эмитента</w:t>
            </w:r>
          </w:p>
          <w:p w:rsidR="00B44308" w:rsidRPr="000160C5" w:rsidRDefault="00B44308" w:rsidP="00B44308">
            <w:pPr>
              <w:pStyle w:val="TNR14"/>
              <w:numPr>
                <w:ilvl w:val="0"/>
                <w:numId w:val="6"/>
              </w:numPr>
              <w:spacing w:line="240" w:lineRule="auto"/>
              <w:rPr>
                <w:rFonts w:cs="Times New Roman"/>
                <w:szCs w:val="28"/>
                <w:lang w:val="ru-RU"/>
              </w:rPr>
            </w:pPr>
            <w:r w:rsidRPr="000160C5">
              <w:rPr>
                <w:rFonts w:cs="Times New Roman"/>
                <w:szCs w:val="28"/>
                <w:lang w:val="ru-RU"/>
              </w:rPr>
              <w:t>Сведения об оценщике эмитента</w:t>
            </w:r>
          </w:p>
          <w:p w:rsidR="00B44308" w:rsidRPr="000160C5" w:rsidRDefault="00B44308" w:rsidP="00B44308">
            <w:pPr>
              <w:pStyle w:val="TNR14"/>
              <w:numPr>
                <w:ilvl w:val="0"/>
                <w:numId w:val="6"/>
              </w:numPr>
              <w:spacing w:line="240" w:lineRule="auto"/>
              <w:rPr>
                <w:rFonts w:cs="Times New Roman"/>
                <w:szCs w:val="28"/>
                <w:lang w:val="ru-RU"/>
              </w:rPr>
            </w:pPr>
            <w:r w:rsidRPr="000160C5">
              <w:rPr>
                <w:rFonts w:cs="Times New Roman"/>
                <w:szCs w:val="28"/>
                <w:lang w:val="ru-RU"/>
              </w:rPr>
              <w:t>Сведения о консультантах эмитента</w:t>
            </w:r>
          </w:p>
          <w:p w:rsidR="00B44308" w:rsidRPr="000160C5" w:rsidRDefault="00B44308" w:rsidP="00B44308">
            <w:pPr>
              <w:pStyle w:val="TNR14"/>
              <w:numPr>
                <w:ilvl w:val="0"/>
                <w:numId w:val="6"/>
              </w:numPr>
              <w:spacing w:line="240" w:lineRule="auto"/>
              <w:rPr>
                <w:rFonts w:cs="Times New Roman"/>
                <w:szCs w:val="28"/>
                <w:lang w:val="ru-RU"/>
              </w:rPr>
            </w:pPr>
            <w:r w:rsidRPr="000160C5">
              <w:rPr>
                <w:rFonts w:cs="Times New Roman"/>
                <w:szCs w:val="28"/>
                <w:lang w:val="ru-RU"/>
              </w:rPr>
              <w:t>Сведения об иных лицах, подписавших ежеквартальный отчет</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 xml:space="preserve">II. Основная информация о </w:t>
            </w:r>
            <w:proofErr w:type="gramStart"/>
            <w:r w:rsidRPr="000160C5">
              <w:rPr>
                <w:rFonts w:cs="Times New Roman"/>
                <w:szCs w:val="28"/>
                <w:lang w:val="ru-RU"/>
              </w:rPr>
              <w:t>финансово-экономическом</w:t>
            </w:r>
            <w:proofErr w:type="gramEnd"/>
          </w:p>
          <w:p w:rsidR="00B44308" w:rsidRPr="000160C5" w:rsidRDefault="00B44308" w:rsidP="00915920">
            <w:pPr>
              <w:pStyle w:val="TNR14"/>
              <w:spacing w:line="240" w:lineRule="auto"/>
              <w:rPr>
                <w:rFonts w:cs="Times New Roman"/>
                <w:szCs w:val="28"/>
                <w:lang w:val="ru-RU"/>
              </w:rPr>
            </w:pPr>
            <w:proofErr w:type="gramStart"/>
            <w:r w:rsidRPr="000160C5">
              <w:rPr>
                <w:rFonts w:cs="Times New Roman"/>
                <w:szCs w:val="28"/>
                <w:lang w:val="ru-RU"/>
              </w:rPr>
              <w:t>состоянии</w:t>
            </w:r>
            <w:proofErr w:type="gramEnd"/>
            <w:r w:rsidRPr="000160C5">
              <w:rPr>
                <w:rFonts w:cs="Times New Roman"/>
                <w:szCs w:val="28"/>
                <w:lang w:val="ru-RU"/>
              </w:rPr>
              <w:t xml:space="preserve"> эмитента:</w:t>
            </w:r>
          </w:p>
          <w:p w:rsidR="00B44308" w:rsidRPr="000160C5" w:rsidRDefault="00B44308" w:rsidP="00B44308">
            <w:pPr>
              <w:pStyle w:val="TNR14"/>
              <w:numPr>
                <w:ilvl w:val="0"/>
                <w:numId w:val="7"/>
              </w:numPr>
              <w:spacing w:line="240" w:lineRule="auto"/>
              <w:rPr>
                <w:rFonts w:cs="Times New Roman"/>
                <w:szCs w:val="28"/>
                <w:lang w:val="ru-RU"/>
              </w:rPr>
            </w:pPr>
            <w:r w:rsidRPr="000160C5">
              <w:rPr>
                <w:rFonts w:cs="Times New Roman"/>
                <w:szCs w:val="28"/>
                <w:lang w:val="ru-RU"/>
              </w:rPr>
              <w:t>Показатели финансово-экономической деятельности эмитента</w:t>
            </w:r>
          </w:p>
          <w:p w:rsidR="00B44308" w:rsidRPr="000160C5" w:rsidRDefault="00B44308" w:rsidP="00B44308">
            <w:pPr>
              <w:pStyle w:val="TNR14"/>
              <w:numPr>
                <w:ilvl w:val="0"/>
                <w:numId w:val="7"/>
              </w:numPr>
              <w:spacing w:line="240" w:lineRule="auto"/>
              <w:rPr>
                <w:rFonts w:cs="Times New Roman"/>
                <w:szCs w:val="28"/>
                <w:lang w:val="ru-RU"/>
              </w:rPr>
            </w:pPr>
            <w:r w:rsidRPr="000160C5">
              <w:rPr>
                <w:rFonts w:cs="Times New Roman"/>
                <w:szCs w:val="28"/>
                <w:lang w:val="ru-RU"/>
              </w:rPr>
              <w:t>Рыночная капитализация эмитента</w:t>
            </w:r>
          </w:p>
          <w:p w:rsidR="00B44308" w:rsidRPr="000160C5" w:rsidRDefault="00B44308" w:rsidP="00B44308">
            <w:pPr>
              <w:pStyle w:val="TNR14"/>
              <w:numPr>
                <w:ilvl w:val="0"/>
                <w:numId w:val="7"/>
              </w:numPr>
              <w:spacing w:line="240" w:lineRule="auto"/>
              <w:rPr>
                <w:rFonts w:cs="Times New Roman"/>
                <w:szCs w:val="28"/>
                <w:lang w:val="ru-RU"/>
              </w:rPr>
            </w:pPr>
            <w:r w:rsidRPr="000160C5">
              <w:rPr>
                <w:rFonts w:cs="Times New Roman"/>
                <w:szCs w:val="28"/>
                <w:lang w:val="ru-RU"/>
              </w:rPr>
              <w:t>Обязательства эмитента:</w:t>
            </w:r>
          </w:p>
          <w:p w:rsidR="00B44308" w:rsidRPr="000160C5" w:rsidRDefault="00B44308" w:rsidP="00B44308">
            <w:pPr>
              <w:pStyle w:val="TNR14"/>
              <w:numPr>
                <w:ilvl w:val="1"/>
                <w:numId w:val="7"/>
              </w:numPr>
              <w:spacing w:line="240" w:lineRule="auto"/>
              <w:rPr>
                <w:rFonts w:cs="Times New Roman"/>
                <w:szCs w:val="28"/>
                <w:lang w:val="ru-RU"/>
              </w:rPr>
            </w:pPr>
            <w:r w:rsidRPr="000160C5">
              <w:rPr>
                <w:rFonts w:cs="Times New Roman"/>
                <w:szCs w:val="28"/>
                <w:lang w:val="ru-RU"/>
              </w:rPr>
              <w:t>заемные средства и кредиторская задолженность</w:t>
            </w:r>
          </w:p>
          <w:p w:rsidR="00B44308" w:rsidRPr="000160C5" w:rsidRDefault="00B44308" w:rsidP="00B44308">
            <w:pPr>
              <w:pStyle w:val="TNR14"/>
              <w:numPr>
                <w:ilvl w:val="1"/>
                <w:numId w:val="7"/>
              </w:numPr>
              <w:spacing w:line="240" w:lineRule="auto"/>
              <w:rPr>
                <w:rFonts w:cs="Times New Roman"/>
                <w:szCs w:val="28"/>
                <w:lang w:val="ru-RU"/>
              </w:rPr>
            </w:pPr>
            <w:r w:rsidRPr="000160C5">
              <w:rPr>
                <w:rFonts w:cs="Times New Roman"/>
                <w:szCs w:val="28"/>
                <w:lang w:val="ru-RU"/>
              </w:rPr>
              <w:t>кредитная история эмитента</w:t>
            </w:r>
          </w:p>
          <w:p w:rsidR="00B44308" w:rsidRPr="000160C5" w:rsidRDefault="00B44308" w:rsidP="00B44308">
            <w:pPr>
              <w:pStyle w:val="TNR14"/>
              <w:numPr>
                <w:ilvl w:val="1"/>
                <w:numId w:val="7"/>
              </w:numPr>
              <w:spacing w:line="240" w:lineRule="auto"/>
              <w:rPr>
                <w:rFonts w:cs="Times New Roman"/>
                <w:szCs w:val="28"/>
                <w:lang w:val="ru-RU"/>
              </w:rPr>
            </w:pPr>
            <w:r w:rsidRPr="000160C5">
              <w:rPr>
                <w:rFonts w:cs="Times New Roman"/>
                <w:szCs w:val="28"/>
                <w:lang w:val="ru-RU"/>
              </w:rPr>
              <w:t>обязательства эмитента из обеспечения, предоставленного третьим лицам</w:t>
            </w:r>
          </w:p>
          <w:p w:rsidR="00B44308" w:rsidRPr="000160C5" w:rsidRDefault="00B44308" w:rsidP="00B44308">
            <w:pPr>
              <w:pStyle w:val="TNR14"/>
              <w:numPr>
                <w:ilvl w:val="1"/>
                <w:numId w:val="7"/>
              </w:numPr>
              <w:spacing w:line="240" w:lineRule="auto"/>
              <w:rPr>
                <w:rFonts w:cs="Times New Roman"/>
                <w:szCs w:val="28"/>
                <w:lang w:val="ru-RU"/>
              </w:rPr>
            </w:pPr>
            <w:r w:rsidRPr="000160C5">
              <w:rPr>
                <w:rFonts w:cs="Times New Roman"/>
                <w:szCs w:val="28"/>
                <w:lang w:val="ru-RU"/>
              </w:rPr>
              <w:t>прочие обязательства эмитента</w:t>
            </w:r>
          </w:p>
          <w:p w:rsidR="00B44308" w:rsidRPr="000160C5" w:rsidRDefault="00B44308" w:rsidP="00B44308">
            <w:pPr>
              <w:pStyle w:val="TNR14"/>
              <w:numPr>
                <w:ilvl w:val="0"/>
                <w:numId w:val="7"/>
              </w:numPr>
              <w:spacing w:line="240" w:lineRule="auto"/>
              <w:rPr>
                <w:rFonts w:cs="Times New Roman"/>
                <w:szCs w:val="28"/>
                <w:lang w:val="ru-RU"/>
              </w:rPr>
            </w:pPr>
            <w:r w:rsidRPr="000160C5">
              <w:rPr>
                <w:rFonts w:cs="Times New Roman"/>
                <w:szCs w:val="28"/>
                <w:lang w:val="ru-RU"/>
              </w:rPr>
              <w:t xml:space="preserve">Риски, связанные с приобретением размещаемых (размещенных) </w:t>
            </w:r>
            <w:r w:rsidRPr="000160C5">
              <w:rPr>
                <w:rFonts w:cs="Times New Roman"/>
                <w:szCs w:val="28"/>
                <w:lang w:val="ru-RU"/>
              </w:rPr>
              <w:lastRenderedPageBreak/>
              <w:t>эмиссионных ценных бумаг:</w:t>
            </w:r>
          </w:p>
          <w:p w:rsidR="00B44308" w:rsidRPr="000160C5" w:rsidRDefault="00B44308" w:rsidP="00B44308">
            <w:pPr>
              <w:pStyle w:val="TNR14"/>
              <w:numPr>
                <w:ilvl w:val="1"/>
                <w:numId w:val="7"/>
              </w:numPr>
              <w:spacing w:line="240" w:lineRule="auto"/>
              <w:rPr>
                <w:rFonts w:cs="Times New Roman"/>
                <w:szCs w:val="28"/>
                <w:lang w:val="ru-RU"/>
              </w:rPr>
            </w:pPr>
            <w:r w:rsidRPr="000160C5">
              <w:rPr>
                <w:rFonts w:cs="Times New Roman"/>
                <w:szCs w:val="28"/>
                <w:lang w:val="ru-RU"/>
              </w:rPr>
              <w:t>отраслевые риски</w:t>
            </w:r>
          </w:p>
          <w:p w:rsidR="00B44308" w:rsidRPr="000160C5" w:rsidRDefault="00B44308" w:rsidP="00B44308">
            <w:pPr>
              <w:pStyle w:val="TNR14"/>
              <w:numPr>
                <w:ilvl w:val="1"/>
                <w:numId w:val="7"/>
              </w:numPr>
              <w:spacing w:line="240" w:lineRule="auto"/>
              <w:rPr>
                <w:rFonts w:cs="Times New Roman"/>
                <w:szCs w:val="28"/>
                <w:lang w:val="ru-RU"/>
              </w:rPr>
            </w:pPr>
            <w:proofErr w:type="spellStart"/>
            <w:r w:rsidRPr="000160C5">
              <w:rPr>
                <w:rFonts w:cs="Times New Roman"/>
                <w:szCs w:val="28"/>
                <w:lang w:val="ru-RU"/>
              </w:rPr>
              <w:t>страновые</w:t>
            </w:r>
            <w:proofErr w:type="spellEnd"/>
            <w:r w:rsidRPr="000160C5">
              <w:rPr>
                <w:rFonts w:cs="Times New Roman"/>
                <w:szCs w:val="28"/>
                <w:lang w:val="ru-RU"/>
              </w:rPr>
              <w:t xml:space="preserve"> и региональные риски</w:t>
            </w:r>
          </w:p>
          <w:p w:rsidR="00B44308" w:rsidRPr="000160C5" w:rsidRDefault="00B44308" w:rsidP="00B44308">
            <w:pPr>
              <w:pStyle w:val="TNR14"/>
              <w:numPr>
                <w:ilvl w:val="1"/>
                <w:numId w:val="7"/>
              </w:numPr>
              <w:spacing w:line="240" w:lineRule="auto"/>
              <w:rPr>
                <w:rFonts w:cs="Times New Roman"/>
                <w:szCs w:val="28"/>
                <w:lang w:val="ru-RU"/>
              </w:rPr>
            </w:pPr>
            <w:r w:rsidRPr="000160C5">
              <w:rPr>
                <w:rFonts w:cs="Times New Roman"/>
                <w:szCs w:val="28"/>
                <w:lang w:val="ru-RU"/>
              </w:rPr>
              <w:t>финансовые риски</w:t>
            </w:r>
          </w:p>
          <w:p w:rsidR="00B44308" w:rsidRPr="000160C5" w:rsidRDefault="00B44308" w:rsidP="00B44308">
            <w:pPr>
              <w:pStyle w:val="TNR14"/>
              <w:numPr>
                <w:ilvl w:val="1"/>
                <w:numId w:val="7"/>
              </w:numPr>
              <w:spacing w:line="240" w:lineRule="auto"/>
              <w:rPr>
                <w:rFonts w:cs="Times New Roman"/>
                <w:szCs w:val="28"/>
                <w:lang w:val="ru-RU"/>
              </w:rPr>
            </w:pPr>
            <w:r w:rsidRPr="000160C5">
              <w:rPr>
                <w:rFonts w:cs="Times New Roman"/>
                <w:szCs w:val="28"/>
                <w:lang w:val="ru-RU"/>
              </w:rPr>
              <w:t>правовые риски</w:t>
            </w:r>
          </w:p>
          <w:p w:rsidR="00B44308" w:rsidRPr="000160C5" w:rsidRDefault="00B44308" w:rsidP="00B44308">
            <w:pPr>
              <w:pStyle w:val="TNR14"/>
              <w:numPr>
                <w:ilvl w:val="1"/>
                <w:numId w:val="7"/>
              </w:numPr>
              <w:spacing w:line="240" w:lineRule="auto"/>
              <w:rPr>
                <w:rFonts w:cs="Times New Roman"/>
                <w:szCs w:val="28"/>
                <w:lang w:val="ru-RU"/>
              </w:rPr>
            </w:pPr>
            <w:r w:rsidRPr="000160C5">
              <w:rPr>
                <w:rFonts w:cs="Times New Roman"/>
                <w:szCs w:val="28"/>
                <w:lang w:val="ru-RU"/>
              </w:rPr>
              <w:t>риски, связанные с деятельностью эмитента</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III. Подробная информация об эмитенте:</w:t>
            </w:r>
          </w:p>
          <w:p w:rsidR="00B44308" w:rsidRPr="000160C5" w:rsidRDefault="00B44308" w:rsidP="00B44308">
            <w:pPr>
              <w:pStyle w:val="TNR14"/>
              <w:numPr>
                <w:ilvl w:val="0"/>
                <w:numId w:val="8"/>
              </w:numPr>
              <w:spacing w:line="240" w:lineRule="auto"/>
              <w:rPr>
                <w:rFonts w:cs="Times New Roman"/>
                <w:szCs w:val="28"/>
                <w:lang w:val="ru-RU"/>
              </w:rPr>
            </w:pPr>
            <w:r w:rsidRPr="000160C5">
              <w:rPr>
                <w:rFonts w:cs="Times New Roman"/>
                <w:szCs w:val="28"/>
                <w:lang w:val="ru-RU"/>
              </w:rPr>
              <w:t>История создания и развитие эмитента</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Данные о фирменном наименовании (наименовании) эмитента</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Сведения о государственной регистрации эмитента</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Сведения о создании и развитии эмитента</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Контактная информация</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Идентификационный номер налогоплательщика</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Филиалы и представительства эмитента</w:t>
            </w:r>
          </w:p>
          <w:p w:rsidR="00B44308" w:rsidRPr="000160C5" w:rsidRDefault="00B44308" w:rsidP="00B44308">
            <w:pPr>
              <w:pStyle w:val="TNR14"/>
              <w:numPr>
                <w:ilvl w:val="0"/>
                <w:numId w:val="8"/>
              </w:numPr>
              <w:spacing w:line="240" w:lineRule="auto"/>
              <w:rPr>
                <w:rFonts w:cs="Times New Roman"/>
                <w:szCs w:val="28"/>
                <w:lang w:val="ru-RU"/>
              </w:rPr>
            </w:pPr>
            <w:r w:rsidRPr="000160C5">
              <w:rPr>
                <w:rFonts w:cs="Times New Roman"/>
                <w:szCs w:val="28"/>
                <w:lang w:val="ru-RU"/>
              </w:rPr>
              <w:t>Основная хозяйственная деятельность эмитента</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Отраслевая принадлежность эмитента</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Основная хозяйственная деятельность эмитента</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Материалы, товары (сырье) и поставщики эмитента</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Рынки сбыта продукции (работ, услуг) эмитента</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Сведения о налич</w:t>
            </w:r>
            <w:proofErr w:type="gramStart"/>
            <w:r w:rsidRPr="000160C5">
              <w:rPr>
                <w:rFonts w:cs="Times New Roman"/>
                <w:szCs w:val="28"/>
                <w:lang w:val="ru-RU"/>
              </w:rPr>
              <w:t>ии у э</w:t>
            </w:r>
            <w:proofErr w:type="gramEnd"/>
            <w:r w:rsidRPr="000160C5">
              <w:rPr>
                <w:rFonts w:cs="Times New Roman"/>
                <w:szCs w:val="28"/>
                <w:lang w:val="ru-RU"/>
              </w:rPr>
              <w:t>митента разрешений (лицензий) или допусков к отдельным видам работ</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Сведения о деятельности отдельных категорий эмитентов эмиссионных ценных бумаг</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 xml:space="preserve">Дополнительные сведения об эмитентах, основной </w:t>
            </w:r>
            <w:r w:rsidRPr="000160C5">
              <w:rPr>
                <w:rFonts w:cs="Times New Roman"/>
                <w:szCs w:val="28"/>
                <w:lang w:val="ru-RU"/>
              </w:rPr>
              <w:lastRenderedPageBreak/>
              <w:t>деятельностью которых является добыча полезных ископаемых</w:t>
            </w:r>
          </w:p>
          <w:p w:rsidR="00B44308" w:rsidRPr="000160C5" w:rsidRDefault="00B44308" w:rsidP="00B44308">
            <w:pPr>
              <w:pStyle w:val="TNR14"/>
              <w:numPr>
                <w:ilvl w:val="1"/>
                <w:numId w:val="8"/>
              </w:numPr>
              <w:spacing w:line="240" w:lineRule="auto"/>
              <w:rPr>
                <w:rFonts w:cs="Times New Roman"/>
                <w:szCs w:val="28"/>
                <w:lang w:val="ru-RU"/>
              </w:rPr>
            </w:pPr>
            <w:r w:rsidRPr="000160C5">
              <w:rPr>
                <w:rFonts w:cs="Times New Roman"/>
                <w:szCs w:val="28"/>
                <w:lang w:val="ru-RU"/>
              </w:rPr>
              <w:t>Дополнительные сведения об эмитентах, основной деятельностью которых является оказание услуг связи</w:t>
            </w:r>
          </w:p>
          <w:p w:rsidR="00B44308" w:rsidRPr="000160C5" w:rsidRDefault="00B44308" w:rsidP="00B44308">
            <w:pPr>
              <w:pStyle w:val="TNR14"/>
              <w:numPr>
                <w:ilvl w:val="0"/>
                <w:numId w:val="8"/>
              </w:numPr>
              <w:spacing w:line="240" w:lineRule="auto"/>
              <w:rPr>
                <w:rFonts w:cs="Times New Roman"/>
                <w:szCs w:val="28"/>
                <w:lang w:val="ru-RU"/>
              </w:rPr>
            </w:pPr>
            <w:r w:rsidRPr="000160C5">
              <w:rPr>
                <w:rFonts w:cs="Times New Roman"/>
                <w:szCs w:val="28"/>
                <w:lang w:val="ru-RU"/>
              </w:rPr>
              <w:t>Планы будущей деятельности эмитента</w:t>
            </w:r>
          </w:p>
          <w:p w:rsidR="00B44308" w:rsidRPr="000160C5" w:rsidRDefault="00B44308" w:rsidP="00B44308">
            <w:pPr>
              <w:pStyle w:val="TNR14"/>
              <w:numPr>
                <w:ilvl w:val="0"/>
                <w:numId w:val="8"/>
              </w:numPr>
              <w:spacing w:line="240" w:lineRule="auto"/>
              <w:rPr>
                <w:rFonts w:cs="Times New Roman"/>
                <w:szCs w:val="28"/>
                <w:lang w:val="ru-RU"/>
              </w:rPr>
            </w:pPr>
            <w:r w:rsidRPr="000160C5">
              <w:rPr>
                <w:rFonts w:cs="Times New Roman"/>
                <w:szCs w:val="28"/>
                <w:lang w:val="ru-RU"/>
              </w:rPr>
              <w:t>Участие эмитента в банковских группах, банковских холдингах, холдингах и ассоциациях</w:t>
            </w:r>
          </w:p>
          <w:p w:rsidR="00B44308" w:rsidRPr="000160C5" w:rsidRDefault="00B44308" w:rsidP="00B44308">
            <w:pPr>
              <w:pStyle w:val="TNR14"/>
              <w:numPr>
                <w:ilvl w:val="0"/>
                <w:numId w:val="8"/>
              </w:numPr>
              <w:spacing w:line="240" w:lineRule="auto"/>
              <w:rPr>
                <w:rFonts w:cs="Times New Roman"/>
                <w:szCs w:val="28"/>
                <w:lang w:val="ru-RU"/>
              </w:rPr>
            </w:pPr>
            <w:r w:rsidRPr="000160C5">
              <w:rPr>
                <w:rFonts w:cs="Times New Roman"/>
                <w:szCs w:val="28"/>
                <w:lang w:val="ru-RU"/>
              </w:rPr>
              <w:t>Подконтрольные эмитенту организации, имеющие для него существенное значение</w:t>
            </w:r>
          </w:p>
          <w:p w:rsidR="00B44308" w:rsidRPr="000160C5" w:rsidRDefault="00B44308" w:rsidP="00B44308">
            <w:pPr>
              <w:pStyle w:val="TNR14"/>
              <w:numPr>
                <w:ilvl w:val="0"/>
                <w:numId w:val="8"/>
              </w:numPr>
              <w:spacing w:line="240" w:lineRule="auto"/>
              <w:rPr>
                <w:rFonts w:cs="Times New Roman"/>
                <w:szCs w:val="28"/>
                <w:lang w:val="ru-RU"/>
              </w:rPr>
            </w:pPr>
            <w:r w:rsidRPr="000160C5">
              <w:rPr>
                <w:rFonts w:cs="Times New Roman"/>
                <w:szCs w:val="28"/>
                <w:lang w:val="ru-RU"/>
              </w:rPr>
              <w:t>Состав, структура и стоимость основных средств эмитента, информации о планах по приобретению, замене, выбытию основных средств, а также обо всех фактах обременения основных средств эмитента</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 xml:space="preserve">IV. Сведения о </w:t>
            </w:r>
            <w:proofErr w:type="gramStart"/>
            <w:r w:rsidRPr="000160C5">
              <w:rPr>
                <w:rFonts w:cs="Times New Roman"/>
                <w:szCs w:val="28"/>
                <w:lang w:val="ru-RU"/>
              </w:rPr>
              <w:t>финансово-хозяйственной</w:t>
            </w:r>
            <w:proofErr w:type="gramEnd"/>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деятельности эмитента:</w:t>
            </w:r>
          </w:p>
          <w:p w:rsidR="00B44308" w:rsidRPr="000160C5" w:rsidRDefault="00B44308" w:rsidP="00B44308">
            <w:pPr>
              <w:pStyle w:val="TNR14"/>
              <w:numPr>
                <w:ilvl w:val="0"/>
                <w:numId w:val="9"/>
              </w:numPr>
              <w:spacing w:line="240" w:lineRule="auto"/>
              <w:rPr>
                <w:rFonts w:cs="Times New Roman"/>
                <w:szCs w:val="28"/>
                <w:lang w:val="ru-RU"/>
              </w:rPr>
            </w:pPr>
            <w:r w:rsidRPr="000160C5">
              <w:rPr>
                <w:rFonts w:cs="Times New Roman"/>
                <w:szCs w:val="28"/>
                <w:lang w:val="ru-RU"/>
              </w:rPr>
              <w:t>Результаты финансово-хозяйственной деятельности эмитента</w:t>
            </w:r>
          </w:p>
          <w:p w:rsidR="00B44308" w:rsidRPr="000160C5" w:rsidRDefault="00B44308" w:rsidP="00B44308">
            <w:pPr>
              <w:pStyle w:val="TNR14"/>
              <w:numPr>
                <w:ilvl w:val="0"/>
                <w:numId w:val="9"/>
              </w:numPr>
              <w:spacing w:line="240" w:lineRule="auto"/>
              <w:rPr>
                <w:rFonts w:cs="Times New Roman"/>
                <w:szCs w:val="28"/>
                <w:lang w:val="ru-RU"/>
              </w:rPr>
            </w:pPr>
            <w:r w:rsidRPr="000160C5">
              <w:rPr>
                <w:rFonts w:cs="Times New Roman"/>
                <w:szCs w:val="28"/>
                <w:lang w:val="ru-RU"/>
              </w:rPr>
              <w:t>Ликвидность эмитента, достаточность капитала и оборотных средств</w:t>
            </w:r>
          </w:p>
          <w:p w:rsidR="00B44308" w:rsidRPr="000160C5" w:rsidRDefault="00B44308" w:rsidP="00B44308">
            <w:pPr>
              <w:pStyle w:val="TNR14"/>
              <w:numPr>
                <w:ilvl w:val="0"/>
                <w:numId w:val="9"/>
              </w:numPr>
              <w:spacing w:line="240" w:lineRule="auto"/>
              <w:rPr>
                <w:rFonts w:cs="Times New Roman"/>
                <w:szCs w:val="28"/>
                <w:lang w:val="ru-RU"/>
              </w:rPr>
            </w:pPr>
            <w:r w:rsidRPr="000160C5">
              <w:rPr>
                <w:rFonts w:cs="Times New Roman"/>
                <w:szCs w:val="28"/>
                <w:lang w:val="ru-RU"/>
              </w:rPr>
              <w:t>Финансовые вложения эмитента</w:t>
            </w:r>
          </w:p>
          <w:p w:rsidR="00B44308" w:rsidRPr="000160C5" w:rsidRDefault="00B44308" w:rsidP="00B44308">
            <w:pPr>
              <w:pStyle w:val="TNR14"/>
              <w:numPr>
                <w:ilvl w:val="0"/>
                <w:numId w:val="9"/>
              </w:numPr>
              <w:spacing w:line="240" w:lineRule="auto"/>
              <w:rPr>
                <w:rFonts w:cs="Times New Roman"/>
                <w:szCs w:val="28"/>
                <w:lang w:val="ru-RU"/>
              </w:rPr>
            </w:pPr>
            <w:r w:rsidRPr="000160C5">
              <w:rPr>
                <w:rFonts w:cs="Times New Roman"/>
                <w:szCs w:val="28"/>
                <w:lang w:val="ru-RU"/>
              </w:rPr>
              <w:t>Нематериальные активы эмитента</w:t>
            </w:r>
          </w:p>
          <w:p w:rsidR="00B44308" w:rsidRPr="000160C5" w:rsidRDefault="00B44308" w:rsidP="00B44308">
            <w:pPr>
              <w:pStyle w:val="TNR14"/>
              <w:numPr>
                <w:ilvl w:val="0"/>
                <w:numId w:val="9"/>
              </w:numPr>
              <w:spacing w:line="240" w:lineRule="auto"/>
              <w:rPr>
                <w:rFonts w:cs="Times New Roman"/>
                <w:szCs w:val="28"/>
                <w:lang w:val="ru-RU"/>
              </w:rPr>
            </w:pPr>
            <w:r w:rsidRPr="000160C5">
              <w:rPr>
                <w:rFonts w:cs="Times New Roman"/>
                <w:szCs w:val="28"/>
                <w:lang w:val="ru-RU"/>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44308" w:rsidRPr="000160C5" w:rsidRDefault="00B44308" w:rsidP="00B44308">
            <w:pPr>
              <w:pStyle w:val="TNR14"/>
              <w:numPr>
                <w:ilvl w:val="0"/>
                <w:numId w:val="9"/>
              </w:numPr>
              <w:spacing w:line="240" w:lineRule="auto"/>
              <w:rPr>
                <w:rFonts w:cs="Times New Roman"/>
                <w:szCs w:val="28"/>
                <w:lang w:val="ru-RU"/>
              </w:rPr>
            </w:pPr>
            <w:r w:rsidRPr="000160C5">
              <w:rPr>
                <w:rFonts w:cs="Times New Roman"/>
                <w:szCs w:val="28"/>
                <w:lang w:val="ru-RU"/>
              </w:rPr>
              <w:t>Анализ тенденций развития в сфере основной деятельности эмитента</w:t>
            </w:r>
          </w:p>
          <w:p w:rsidR="00B44308" w:rsidRPr="000160C5" w:rsidRDefault="00B44308" w:rsidP="00B44308">
            <w:pPr>
              <w:pStyle w:val="TNR14"/>
              <w:numPr>
                <w:ilvl w:val="1"/>
                <w:numId w:val="9"/>
              </w:numPr>
              <w:spacing w:line="240" w:lineRule="auto"/>
              <w:rPr>
                <w:rFonts w:cs="Times New Roman"/>
                <w:szCs w:val="28"/>
                <w:lang w:val="ru-RU"/>
              </w:rPr>
            </w:pPr>
            <w:r w:rsidRPr="000160C5">
              <w:rPr>
                <w:rFonts w:cs="Times New Roman"/>
                <w:szCs w:val="28"/>
                <w:lang w:val="ru-RU"/>
              </w:rPr>
              <w:t>Анализ факторов и условий, влияющих на деятельность эмитента</w:t>
            </w:r>
          </w:p>
          <w:p w:rsidR="00B44308" w:rsidRPr="000160C5" w:rsidRDefault="00B44308" w:rsidP="00B44308">
            <w:pPr>
              <w:pStyle w:val="TNR14"/>
              <w:numPr>
                <w:ilvl w:val="1"/>
                <w:numId w:val="9"/>
              </w:numPr>
              <w:spacing w:line="240" w:lineRule="auto"/>
              <w:rPr>
                <w:rFonts w:cs="Times New Roman"/>
                <w:szCs w:val="28"/>
                <w:lang w:val="ru-RU"/>
              </w:rPr>
            </w:pPr>
            <w:r w:rsidRPr="000160C5">
              <w:rPr>
                <w:rFonts w:cs="Times New Roman"/>
                <w:szCs w:val="28"/>
                <w:lang w:val="ru-RU"/>
              </w:rPr>
              <w:t>Конкуренты эмитента</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lastRenderedPageBreak/>
              <w:t>V. Подробные сведения о лицах, входящих в состав</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органов управления эмитента, органов эмитента по контролю</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 xml:space="preserve">за его финансово-хозяйственной деятельностью, и </w:t>
            </w:r>
            <w:proofErr w:type="gramStart"/>
            <w:r w:rsidRPr="000160C5">
              <w:rPr>
                <w:rFonts w:cs="Times New Roman"/>
                <w:szCs w:val="28"/>
                <w:lang w:val="ru-RU"/>
              </w:rPr>
              <w:t>краткие</w:t>
            </w:r>
            <w:proofErr w:type="gramEnd"/>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сведения о сотрудниках (работниках) эмитента:</w:t>
            </w:r>
          </w:p>
          <w:p w:rsidR="00B44308" w:rsidRPr="000160C5" w:rsidRDefault="00B44308" w:rsidP="00B44308">
            <w:pPr>
              <w:pStyle w:val="TNR14"/>
              <w:numPr>
                <w:ilvl w:val="0"/>
                <w:numId w:val="10"/>
              </w:numPr>
              <w:spacing w:line="240" w:lineRule="auto"/>
              <w:rPr>
                <w:rFonts w:cs="Times New Roman"/>
                <w:szCs w:val="28"/>
                <w:lang w:val="ru-RU"/>
              </w:rPr>
            </w:pPr>
            <w:r w:rsidRPr="000160C5">
              <w:rPr>
                <w:rFonts w:cs="Times New Roman"/>
                <w:szCs w:val="28"/>
                <w:lang w:val="ru-RU"/>
              </w:rPr>
              <w:t>Сведения о структуре и компетенции органов управления эмитента</w:t>
            </w:r>
          </w:p>
          <w:p w:rsidR="00B44308" w:rsidRPr="000160C5" w:rsidRDefault="00B44308" w:rsidP="00B44308">
            <w:pPr>
              <w:pStyle w:val="TNR14"/>
              <w:numPr>
                <w:ilvl w:val="0"/>
                <w:numId w:val="10"/>
              </w:numPr>
              <w:spacing w:line="240" w:lineRule="auto"/>
              <w:rPr>
                <w:rFonts w:cs="Times New Roman"/>
                <w:szCs w:val="28"/>
                <w:lang w:val="ru-RU"/>
              </w:rPr>
            </w:pPr>
            <w:r w:rsidRPr="000160C5">
              <w:rPr>
                <w:rFonts w:cs="Times New Roman"/>
                <w:szCs w:val="28"/>
                <w:lang w:val="ru-RU"/>
              </w:rPr>
              <w:t>Информации о лицах, входящих в состав органов управления эмитента</w:t>
            </w:r>
          </w:p>
          <w:p w:rsidR="00B44308" w:rsidRPr="000160C5" w:rsidRDefault="00B44308" w:rsidP="00B44308">
            <w:pPr>
              <w:pStyle w:val="TNR14"/>
              <w:numPr>
                <w:ilvl w:val="0"/>
                <w:numId w:val="10"/>
              </w:numPr>
              <w:spacing w:line="240" w:lineRule="auto"/>
              <w:rPr>
                <w:rFonts w:cs="Times New Roman"/>
                <w:szCs w:val="28"/>
                <w:lang w:val="ru-RU"/>
              </w:rPr>
            </w:pPr>
            <w:r w:rsidRPr="000160C5">
              <w:rPr>
                <w:rFonts w:cs="Times New Roman"/>
                <w:szCs w:val="28"/>
                <w:lang w:val="ru-RU"/>
              </w:rPr>
              <w:t>Сведения о размере вознаграждения, льгот и/или компенсации расходов по каждому органу управлении эмитента</w:t>
            </w:r>
          </w:p>
          <w:p w:rsidR="00B44308" w:rsidRPr="000160C5" w:rsidRDefault="00B44308" w:rsidP="00B44308">
            <w:pPr>
              <w:pStyle w:val="TNR14"/>
              <w:numPr>
                <w:ilvl w:val="0"/>
                <w:numId w:val="10"/>
              </w:numPr>
              <w:spacing w:line="240" w:lineRule="auto"/>
              <w:rPr>
                <w:rFonts w:cs="Times New Roman"/>
                <w:szCs w:val="28"/>
                <w:lang w:val="ru-RU"/>
              </w:rPr>
            </w:pPr>
            <w:r w:rsidRPr="000160C5">
              <w:rPr>
                <w:rFonts w:cs="Times New Roman"/>
                <w:szCs w:val="28"/>
                <w:lang w:val="ru-RU"/>
              </w:rPr>
              <w:t xml:space="preserve">Сведения о структуре и компетенции органов </w:t>
            </w:r>
            <w:proofErr w:type="gramStart"/>
            <w:r w:rsidRPr="000160C5">
              <w:rPr>
                <w:rFonts w:cs="Times New Roman"/>
                <w:szCs w:val="28"/>
                <w:lang w:val="ru-RU"/>
              </w:rPr>
              <w:t>контроля за</w:t>
            </w:r>
            <w:proofErr w:type="gramEnd"/>
            <w:r w:rsidRPr="000160C5">
              <w:rPr>
                <w:rFonts w:cs="Times New Roman"/>
                <w:szCs w:val="28"/>
                <w:lang w:val="ru-RU"/>
              </w:rPr>
              <w:t xml:space="preserve"> финансово-хозяйственной деятельностью эмитента</w:t>
            </w:r>
          </w:p>
          <w:p w:rsidR="00B44308" w:rsidRPr="000160C5" w:rsidRDefault="00B44308" w:rsidP="00B44308">
            <w:pPr>
              <w:pStyle w:val="TNR14"/>
              <w:numPr>
                <w:ilvl w:val="0"/>
                <w:numId w:val="10"/>
              </w:numPr>
              <w:spacing w:line="240" w:lineRule="auto"/>
              <w:rPr>
                <w:rFonts w:cs="Times New Roman"/>
                <w:szCs w:val="28"/>
                <w:lang w:val="ru-RU"/>
              </w:rPr>
            </w:pPr>
            <w:r w:rsidRPr="000160C5">
              <w:rPr>
                <w:rFonts w:cs="Times New Roman"/>
                <w:szCs w:val="28"/>
                <w:lang w:val="ru-RU"/>
              </w:rPr>
              <w:t xml:space="preserve">Информация о лицах, входящих в состав органов </w:t>
            </w:r>
            <w:proofErr w:type="gramStart"/>
            <w:r w:rsidRPr="000160C5">
              <w:rPr>
                <w:rFonts w:cs="Times New Roman"/>
                <w:szCs w:val="28"/>
                <w:lang w:val="ru-RU"/>
              </w:rPr>
              <w:t>контроля за</w:t>
            </w:r>
            <w:proofErr w:type="gramEnd"/>
            <w:r w:rsidRPr="000160C5">
              <w:rPr>
                <w:rFonts w:cs="Times New Roman"/>
                <w:szCs w:val="28"/>
                <w:lang w:val="ru-RU"/>
              </w:rPr>
              <w:t xml:space="preserve"> финансово-хозяйственной деятельностью эмитента</w:t>
            </w:r>
          </w:p>
          <w:p w:rsidR="00B44308" w:rsidRPr="000160C5" w:rsidRDefault="00B44308" w:rsidP="00B44308">
            <w:pPr>
              <w:pStyle w:val="TNR14"/>
              <w:numPr>
                <w:ilvl w:val="0"/>
                <w:numId w:val="10"/>
              </w:numPr>
              <w:spacing w:line="240" w:lineRule="auto"/>
              <w:rPr>
                <w:rFonts w:cs="Times New Roman"/>
                <w:szCs w:val="28"/>
                <w:lang w:val="ru-RU"/>
              </w:rPr>
            </w:pPr>
            <w:r w:rsidRPr="000160C5">
              <w:rPr>
                <w:rFonts w:cs="Times New Roman"/>
                <w:szCs w:val="28"/>
                <w:lang w:val="ru-RU"/>
              </w:rPr>
              <w:t xml:space="preserve">Сведения о размере вознаграждения, льгот и/или компенсации расходов по органу </w:t>
            </w:r>
            <w:proofErr w:type="gramStart"/>
            <w:r w:rsidRPr="000160C5">
              <w:rPr>
                <w:rFonts w:cs="Times New Roman"/>
                <w:szCs w:val="28"/>
                <w:lang w:val="ru-RU"/>
              </w:rPr>
              <w:t>контроля за</w:t>
            </w:r>
            <w:proofErr w:type="gramEnd"/>
            <w:r w:rsidRPr="000160C5">
              <w:rPr>
                <w:rFonts w:cs="Times New Roman"/>
                <w:szCs w:val="28"/>
                <w:lang w:val="ru-RU"/>
              </w:rPr>
              <w:t xml:space="preserve"> финансово-хозяйственной деятельностью эмитента</w:t>
            </w:r>
          </w:p>
          <w:p w:rsidR="00B44308" w:rsidRPr="000160C5" w:rsidRDefault="00B44308" w:rsidP="00B44308">
            <w:pPr>
              <w:pStyle w:val="TNR14"/>
              <w:numPr>
                <w:ilvl w:val="0"/>
                <w:numId w:val="10"/>
              </w:numPr>
              <w:spacing w:line="240" w:lineRule="auto"/>
              <w:rPr>
                <w:rFonts w:cs="Times New Roman"/>
                <w:szCs w:val="28"/>
                <w:lang w:val="ru-RU"/>
              </w:rPr>
            </w:pPr>
            <w:r w:rsidRPr="000160C5">
              <w:rPr>
                <w:rFonts w:cs="Times New Roman"/>
                <w:szCs w:val="28"/>
                <w:lang w:val="ru-RU"/>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44308" w:rsidRPr="000160C5" w:rsidRDefault="00B44308" w:rsidP="00B44308">
            <w:pPr>
              <w:pStyle w:val="TNR14"/>
              <w:numPr>
                <w:ilvl w:val="0"/>
                <w:numId w:val="10"/>
              </w:numPr>
              <w:spacing w:line="240" w:lineRule="auto"/>
              <w:rPr>
                <w:rFonts w:cs="Times New Roman"/>
                <w:szCs w:val="28"/>
                <w:lang w:val="ru-RU"/>
              </w:rPr>
            </w:pPr>
            <w:r w:rsidRPr="000160C5">
              <w:rPr>
                <w:rFonts w:cs="Times New Roman"/>
                <w:szCs w:val="28"/>
                <w:lang w:val="ru-RU"/>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lastRenderedPageBreak/>
              <w:t> VI. Сведения об участниках (акционерах) эмитента</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и о совершенных эмитентом сделках, в совершении которых</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имелась заинтересованность:</w:t>
            </w:r>
          </w:p>
          <w:p w:rsidR="00B44308" w:rsidRPr="000160C5" w:rsidRDefault="00B44308" w:rsidP="00B44308">
            <w:pPr>
              <w:pStyle w:val="TNR14"/>
              <w:numPr>
                <w:ilvl w:val="0"/>
                <w:numId w:val="11"/>
              </w:numPr>
              <w:spacing w:line="240" w:lineRule="auto"/>
              <w:rPr>
                <w:rFonts w:cs="Times New Roman"/>
                <w:szCs w:val="28"/>
                <w:lang w:val="ru-RU"/>
              </w:rPr>
            </w:pPr>
            <w:r w:rsidRPr="000160C5">
              <w:rPr>
                <w:rFonts w:cs="Times New Roman"/>
                <w:szCs w:val="28"/>
                <w:lang w:val="ru-RU"/>
              </w:rPr>
              <w:t>Сведения об общем количестве акционеров (участников) эмитента</w:t>
            </w:r>
          </w:p>
          <w:p w:rsidR="00B44308" w:rsidRPr="000160C5" w:rsidRDefault="00B44308" w:rsidP="00B44308">
            <w:pPr>
              <w:pStyle w:val="TNR14"/>
              <w:numPr>
                <w:ilvl w:val="0"/>
                <w:numId w:val="11"/>
              </w:numPr>
              <w:spacing w:line="240" w:lineRule="auto"/>
              <w:rPr>
                <w:rFonts w:cs="Times New Roman"/>
                <w:szCs w:val="28"/>
                <w:lang w:val="ru-RU"/>
              </w:rPr>
            </w:pPr>
            <w:proofErr w:type="gramStart"/>
            <w:r w:rsidRPr="000160C5">
              <w:rPr>
                <w:rFonts w:cs="Times New Roman"/>
                <w:szCs w:val="28"/>
                <w:lang w:val="ru-RU"/>
              </w:rPr>
              <w:t>Сведения об участниках (акционерах) эмитента, владеющих не менее чем 5 процентами его уставного (складочного) капитала (паевого фонта)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rsidRPr="000160C5">
              <w:rPr>
                <w:rFonts w:cs="Times New Roman"/>
                <w:szCs w:val="28"/>
                <w:lang w:val="ru-RU"/>
              </w:rPr>
              <w:t xml:space="preserve"> 20 процентами их обыкновенных акций</w:t>
            </w:r>
          </w:p>
          <w:p w:rsidR="00B44308" w:rsidRPr="000160C5" w:rsidRDefault="00B44308" w:rsidP="00B44308">
            <w:pPr>
              <w:pStyle w:val="TNR14"/>
              <w:numPr>
                <w:ilvl w:val="0"/>
                <w:numId w:val="11"/>
              </w:numPr>
              <w:spacing w:line="240" w:lineRule="auto"/>
              <w:rPr>
                <w:rFonts w:cs="Times New Roman"/>
                <w:szCs w:val="28"/>
                <w:lang w:val="ru-RU"/>
              </w:rPr>
            </w:pPr>
            <w:r w:rsidRPr="000160C5">
              <w:rPr>
                <w:rFonts w:cs="Times New Roman"/>
                <w:szCs w:val="28"/>
                <w:lang w:val="ru-RU"/>
              </w:rP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B44308" w:rsidRPr="000160C5" w:rsidRDefault="00B44308" w:rsidP="00B44308">
            <w:pPr>
              <w:pStyle w:val="TNR14"/>
              <w:numPr>
                <w:ilvl w:val="0"/>
                <w:numId w:val="11"/>
              </w:numPr>
              <w:spacing w:line="240" w:lineRule="auto"/>
              <w:rPr>
                <w:rFonts w:cs="Times New Roman"/>
                <w:szCs w:val="28"/>
                <w:lang w:val="ru-RU"/>
              </w:rPr>
            </w:pPr>
            <w:r w:rsidRPr="000160C5">
              <w:rPr>
                <w:rFonts w:cs="Times New Roman"/>
                <w:szCs w:val="28"/>
                <w:lang w:val="ru-RU"/>
              </w:rPr>
              <w:t>Сведения об ограничениях на участие в уставном (складочном) капитале (паевом фонде) эмитента</w:t>
            </w:r>
          </w:p>
          <w:p w:rsidR="00B44308" w:rsidRPr="000160C5" w:rsidRDefault="00B44308" w:rsidP="00B44308">
            <w:pPr>
              <w:pStyle w:val="TNR14"/>
              <w:numPr>
                <w:ilvl w:val="0"/>
                <w:numId w:val="11"/>
              </w:numPr>
              <w:spacing w:line="240" w:lineRule="auto"/>
              <w:rPr>
                <w:rFonts w:cs="Times New Roman"/>
                <w:szCs w:val="28"/>
                <w:lang w:val="ru-RU"/>
              </w:rPr>
            </w:pPr>
            <w:r w:rsidRPr="000160C5">
              <w:rPr>
                <w:rFonts w:cs="Times New Roman"/>
                <w:szCs w:val="28"/>
                <w:lang w:val="ru-RU"/>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B44308" w:rsidRPr="000160C5" w:rsidRDefault="00B44308" w:rsidP="00B44308">
            <w:pPr>
              <w:pStyle w:val="TNR14"/>
              <w:numPr>
                <w:ilvl w:val="0"/>
                <w:numId w:val="11"/>
              </w:numPr>
              <w:spacing w:line="240" w:lineRule="auto"/>
              <w:rPr>
                <w:rFonts w:cs="Times New Roman"/>
                <w:szCs w:val="28"/>
                <w:lang w:val="ru-RU"/>
              </w:rPr>
            </w:pPr>
            <w:r w:rsidRPr="000160C5">
              <w:rPr>
                <w:rFonts w:cs="Times New Roman"/>
                <w:szCs w:val="28"/>
                <w:lang w:val="ru-RU"/>
              </w:rPr>
              <w:t xml:space="preserve">Сведения о совершенных эмитентом сделках, в совершении </w:t>
            </w:r>
            <w:r w:rsidRPr="000160C5">
              <w:rPr>
                <w:rFonts w:cs="Times New Roman"/>
                <w:szCs w:val="28"/>
                <w:lang w:val="ru-RU"/>
              </w:rPr>
              <w:lastRenderedPageBreak/>
              <w:t>которых имелась заинтересованность</w:t>
            </w:r>
          </w:p>
          <w:p w:rsidR="00B44308" w:rsidRPr="000160C5" w:rsidRDefault="00B44308" w:rsidP="00B44308">
            <w:pPr>
              <w:pStyle w:val="TNR14"/>
              <w:numPr>
                <w:ilvl w:val="0"/>
                <w:numId w:val="11"/>
              </w:numPr>
              <w:spacing w:line="240" w:lineRule="auto"/>
              <w:rPr>
                <w:rFonts w:cs="Times New Roman"/>
                <w:szCs w:val="28"/>
                <w:lang w:val="ru-RU"/>
              </w:rPr>
            </w:pPr>
            <w:r w:rsidRPr="000160C5">
              <w:rPr>
                <w:rFonts w:cs="Times New Roman"/>
                <w:szCs w:val="28"/>
                <w:lang w:val="ru-RU"/>
              </w:rPr>
              <w:t>Сведения о размере дебиторской задолженности</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VII. Бухгалтерская (финансовая) отчетность эмитента</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и иная финансовая информация:</w:t>
            </w:r>
          </w:p>
          <w:p w:rsidR="00B44308" w:rsidRPr="000160C5" w:rsidRDefault="00B44308" w:rsidP="00B44308">
            <w:pPr>
              <w:pStyle w:val="TNR14"/>
              <w:numPr>
                <w:ilvl w:val="0"/>
                <w:numId w:val="12"/>
              </w:numPr>
              <w:spacing w:line="240" w:lineRule="auto"/>
              <w:rPr>
                <w:rFonts w:cs="Times New Roman"/>
                <w:szCs w:val="28"/>
                <w:lang w:val="ru-RU"/>
              </w:rPr>
            </w:pPr>
            <w:r w:rsidRPr="000160C5">
              <w:rPr>
                <w:rFonts w:cs="Times New Roman"/>
                <w:szCs w:val="28"/>
                <w:lang w:val="ru-RU"/>
              </w:rPr>
              <w:t>Годовая бухгалтерская (финансовая) отчетность эмитента</w:t>
            </w:r>
          </w:p>
          <w:p w:rsidR="00B44308" w:rsidRPr="000160C5" w:rsidRDefault="00B44308" w:rsidP="00B44308">
            <w:pPr>
              <w:pStyle w:val="TNR14"/>
              <w:numPr>
                <w:ilvl w:val="0"/>
                <w:numId w:val="12"/>
              </w:numPr>
              <w:spacing w:line="240" w:lineRule="auto"/>
              <w:rPr>
                <w:rFonts w:cs="Times New Roman"/>
                <w:szCs w:val="28"/>
                <w:lang w:val="ru-RU"/>
              </w:rPr>
            </w:pPr>
            <w:r w:rsidRPr="000160C5">
              <w:rPr>
                <w:rFonts w:cs="Times New Roman"/>
                <w:szCs w:val="28"/>
                <w:lang w:val="ru-RU"/>
              </w:rPr>
              <w:t>Квартальная бухгалтерская (финансовая) отчетность эмитента</w:t>
            </w:r>
          </w:p>
          <w:p w:rsidR="00B44308" w:rsidRPr="000160C5" w:rsidRDefault="00B44308" w:rsidP="00B44308">
            <w:pPr>
              <w:pStyle w:val="TNR14"/>
              <w:numPr>
                <w:ilvl w:val="0"/>
                <w:numId w:val="12"/>
              </w:numPr>
              <w:spacing w:line="240" w:lineRule="auto"/>
              <w:rPr>
                <w:rFonts w:cs="Times New Roman"/>
                <w:szCs w:val="28"/>
                <w:lang w:val="ru-RU"/>
              </w:rPr>
            </w:pPr>
            <w:r w:rsidRPr="000160C5">
              <w:rPr>
                <w:rFonts w:cs="Times New Roman"/>
                <w:szCs w:val="28"/>
                <w:lang w:val="ru-RU"/>
              </w:rPr>
              <w:t>Сводная бухгалтерская (консолидированная финансовая) отчетность эмитента</w:t>
            </w:r>
          </w:p>
          <w:p w:rsidR="00B44308" w:rsidRPr="000160C5" w:rsidRDefault="00B44308" w:rsidP="00B44308">
            <w:pPr>
              <w:pStyle w:val="TNR14"/>
              <w:numPr>
                <w:ilvl w:val="0"/>
                <w:numId w:val="12"/>
              </w:numPr>
              <w:spacing w:line="240" w:lineRule="auto"/>
              <w:rPr>
                <w:rFonts w:cs="Times New Roman"/>
                <w:szCs w:val="28"/>
                <w:lang w:val="ru-RU"/>
              </w:rPr>
            </w:pPr>
            <w:r w:rsidRPr="000160C5">
              <w:rPr>
                <w:rFonts w:cs="Times New Roman"/>
                <w:szCs w:val="28"/>
                <w:lang w:val="ru-RU"/>
              </w:rPr>
              <w:t>Сведения об учетной политике эмитента</w:t>
            </w:r>
          </w:p>
          <w:p w:rsidR="00B44308" w:rsidRPr="000160C5" w:rsidRDefault="00B44308" w:rsidP="00B44308">
            <w:pPr>
              <w:pStyle w:val="TNR14"/>
              <w:numPr>
                <w:ilvl w:val="0"/>
                <w:numId w:val="12"/>
              </w:numPr>
              <w:spacing w:line="240" w:lineRule="auto"/>
              <w:rPr>
                <w:rFonts w:cs="Times New Roman"/>
                <w:szCs w:val="28"/>
                <w:lang w:val="ru-RU"/>
              </w:rPr>
            </w:pPr>
            <w:r w:rsidRPr="000160C5">
              <w:rPr>
                <w:rFonts w:cs="Times New Roman"/>
                <w:szCs w:val="28"/>
                <w:lang w:val="ru-RU"/>
              </w:rPr>
              <w:t>Сведения об общей сумме экспорта, а также о доле, которую составляет экспорт в общем объеме продаж</w:t>
            </w:r>
          </w:p>
          <w:p w:rsidR="00B44308" w:rsidRPr="000160C5" w:rsidRDefault="00B44308" w:rsidP="00B44308">
            <w:pPr>
              <w:pStyle w:val="TNR14"/>
              <w:numPr>
                <w:ilvl w:val="0"/>
                <w:numId w:val="12"/>
              </w:numPr>
              <w:spacing w:line="240" w:lineRule="auto"/>
              <w:rPr>
                <w:rFonts w:cs="Times New Roman"/>
                <w:szCs w:val="28"/>
                <w:lang w:val="ru-RU"/>
              </w:rPr>
            </w:pPr>
            <w:r w:rsidRPr="000160C5">
              <w:rPr>
                <w:rFonts w:cs="Times New Roman"/>
                <w:szCs w:val="28"/>
                <w:lang w:val="ru-RU"/>
              </w:rP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B44308" w:rsidRPr="000160C5" w:rsidRDefault="00B44308" w:rsidP="00B44308">
            <w:pPr>
              <w:pStyle w:val="TNR14"/>
              <w:numPr>
                <w:ilvl w:val="0"/>
                <w:numId w:val="12"/>
              </w:numPr>
              <w:spacing w:line="240" w:lineRule="auto"/>
              <w:rPr>
                <w:rFonts w:cs="Times New Roman"/>
                <w:szCs w:val="28"/>
                <w:lang w:val="ru-RU"/>
              </w:rPr>
            </w:pPr>
            <w:r w:rsidRPr="000160C5">
              <w:rPr>
                <w:rFonts w:cs="Times New Roman"/>
                <w:szCs w:val="28"/>
                <w:lang w:val="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 xml:space="preserve">VIII. Дополнительные сведения об эмитенте и о </w:t>
            </w:r>
            <w:proofErr w:type="gramStart"/>
            <w:r w:rsidRPr="000160C5">
              <w:rPr>
                <w:rFonts w:cs="Times New Roman"/>
                <w:szCs w:val="28"/>
                <w:lang w:val="ru-RU"/>
              </w:rPr>
              <w:t>размещенных</w:t>
            </w:r>
            <w:proofErr w:type="gramEnd"/>
          </w:p>
          <w:p w:rsidR="00B44308" w:rsidRPr="000160C5" w:rsidRDefault="00B44308" w:rsidP="00915920">
            <w:pPr>
              <w:pStyle w:val="TNR14"/>
              <w:spacing w:line="240" w:lineRule="auto"/>
              <w:rPr>
                <w:rFonts w:cs="Times New Roman"/>
                <w:szCs w:val="28"/>
                <w:lang w:val="ru-RU"/>
              </w:rPr>
            </w:pPr>
            <w:r w:rsidRPr="000160C5">
              <w:rPr>
                <w:rFonts w:cs="Times New Roman"/>
                <w:szCs w:val="28"/>
                <w:lang w:val="ru-RU"/>
              </w:rPr>
              <w:t xml:space="preserve">им эмиссионных ценных </w:t>
            </w:r>
            <w:proofErr w:type="gramStart"/>
            <w:r w:rsidRPr="000160C5">
              <w:rPr>
                <w:rFonts w:cs="Times New Roman"/>
                <w:szCs w:val="28"/>
                <w:lang w:val="ru-RU"/>
              </w:rPr>
              <w:t>бумагах</w:t>
            </w:r>
            <w:proofErr w:type="gramEnd"/>
            <w:r w:rsidRPr="000160C5">
              <w:rPr>
                <w:rFonts w:cs="Times New Roman"/>
                <w:szCs w:val="28"/>
                <w:lang w:val="ru-RU"/>
              </w:rPr>
              <w:t>:</w:t>
            </w:r>
          </w:p>
          <w:p w:rsidR="00B44308" w:rsidRPr="000160C5" w:rsidRDefault="00B44308" w:rsidP="00B44308">
            <w:pPr>
              <w:pStyle w:val="TNR14"/>
              <w:numPr>
                <w:ilvl w:val="0"/>
                <w:numId w:val="13"/>
              </w:numPr>
              <w:spacing w:line="240" w:lineRule="auto"/>
              <w:rPr>
                <w:rFonts w:cs="Times New Roman"/>
                <w:szCs w:val="28"/>
                <w:lang w:val="ru-RU"/>
              </w:rPr>
            </w:pPr>
            <w:r w:rsidRPr="000160C5">
              <w:rPr>
                <w:rFonts w:cs="Times New Roman"/>
                <w:szCs w:val="28"/>
                <w:lang w:val="ru-RU"/>
              </w:rPr>
              <w:t>Дополнительные сведения об эмитенте</w:t>
            </w:r>
          </w:p>
          <w:p w:rsidR="00B44308" w:rsidRPr="000160C5" w:rsidRDefault="00B44308" w:rsidP="00B44308">
            <w:pPr>
              <w:pStyle w:val="TNR14"/>
              <w:numPr>
                <w:ilvl w:val="1"/>
                <w:numId w:val="13"/>
              </w:numPr>
              <w:spacing w:line="240" w:lineRule="auto"/>
              <w:rPr>
                <w:rFonts w:cs="Times New Roman"/>
                <w:szCs w:val="28"/>
                <w:lang w:val="ru-RU"/>
              </w:rPr>
            </w:pPr>
            <w:r w:rsidRPr="000160C5">
              <w:rPr>
                <w:rFonts w:cs="Times New Roman"/>
                <w:szCs w:val="28"/>
                <w:lang w:val="ru-RU"/>
              </w:rPr>
              <w:t>Сведения о размере, структуре уставного (складочного) капитала (паевого фонда) эмитента</w:t>
            </w:r>
          </w:p>
          <w:p w:rsidR="00B44308" w:rsidRPr="000160C5" w:rsidRDefault="00B44308" w:rsidP="00B44308">
            <w:pPr>
              <w:pStyle w:val="TNR14"/>
              <w:numPr>
                <w:ilvl w:val="1"/>
                <w:numId w:val="13"/>
              </w:numPr>
              <w:spacing w:line="240" w:lineRule="auto"/>
              <w:rPr>
                <w:rFonts w:cs="Times New Roman"/>
                <w:szCs w:val="28"/>
                <w:lang w:val="ru-RU"/>
              </w:rPr>
            </w:pPr>
            <w:r w:rsidRPr="000160C5">
              <w:rPr>
                <w:rFonts w:cs="Times New Roman"/>
                <w:szCs w:val="28"/>
                <w:lang w:val="ru-RU"/>
              </w:rPr>
              <w:t>Сведения об изменении размера уставного (складочного) капитала (паевого фонда) эмитента</w:t>
            </w:r>
          </w:p>
          <w:p w:rsidR="00B44308" w:rsidRPr="000160C5" w:rsidRDefault="00B44308" w:rsidP="00B44308">
            <w:pPr>
              <w:pStyle w:val="TNR14"/>
              <w:numPr>
                <w:ilvl w:val="1"/>
                <w:numId w:val="13"/>
              </w:numPr>
              <w:spacing w:line="240" w:lineRule="auto"/>
              <w:rPr>
                <w:rFonts w:cs="Times New Roman"/>
                <w:szCs w:val="28"/>
                <w:lang w:val="ru-RU"/>
              </w:rPr>
            </w:pPr>
            <w:r w:rsidRPr="000160C5">
              <w:rPr>
                <w:rFonts w:cs="Times New Roman"/>
                <w:szCs w:val="28"/>
                <w:lang w:val="ru-RU"/>
              </w:rPr>
              <w:t xml:space="preserve">Сведения о порядке созыва и </w:t>
            </w:r>
            <w:r w:rsidRPr="000160C5">
              <w:rPr>
                <w:rFonts w:cs="Times New Roman"/>
                <w:szCs w:val="28"/>
                <w:lang w:val="ru-RU"/>
              </w:rPr>
              <w:lastRenderedPageBreak/>
              <w:t>проведения собрания (заседания) высшего органа управления эмитента</w:t>
            </w:r>
          </w:p>
          <w:p w:rsidR="00B44308" w:rsidRPr="000160C5" w:rsidRDefault="00B44308" w:rsidP="00B44308">
            <w:pPr>
              <w:pStyle w:val="TNR14"/>
              <w:numPr>
                <w:ilvl w:val="1"/>
                <w:numId w:val="13"/>
              </w:numPr>
              <w:spacing w:line="240" w:lineRule="auto"/>
              <w:rPr>
                <w:rFonts w:cs="Times New Roman"/>
                <w:szCs w:val="28"/>
                <w:lang w:val="ru-RU"/>
              </w:rPr>
            </w:pPr>
            <w:r w:rsidRPr="000160C5">
              <w:rPr>
                <w:rFonts w:cs="Times New Roman"/>
                <w:szCs w:val="28"/>
                <w:lang w:val="ru-RU"/>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B44308" w:rsidRPr="000160C5" w:rsidRDefault="00B44308" w:rsidP="00B44308">
            <w:pPr>
              <w:pStyle w:val="TNR14"/>
              <w:numPr>
                <w:ilvl w:val="1"/>
                <w:numId w:val="13"/>
              </w:numPr>
              <w:spacing w:line="240" w:lineRule="auto"/>
              <w:rPr>
                <w:rFonts w:cs="Times New Roman"/>
                <w:szCs w:val="28"/>
                <w:lang w:val="ru-RU"/>
              </w:rPr>
            </w:pPr>
            <w:r w:rsidRPr="000160C5">
              <w:rPr>
                <w:rFonts w:cs="Times New Roman"/>
                <w:szCs w:val="28"/>
                <w:lang w:val="ru-RU"/>
              </w:rPr>
              <w:t>Сведения о существенных сделках, совершенных эмитентом</w:t>
            </w:r>
          </w:p>
          <w:p w:rsidR="00B44308" w:rsidRPr="000160C5" w:rsidRDefault="00B44308" w:rsidP="00B44308">
            <w:pPr>
              <w:pStyle w:val="TNR14"/>
              <w:numPr>
                <w:ilvl w:val="1"/>
                <w:numId w:val="13"/>
              </w:numPr>
              <w:spacing w:line="240" w:lineRule="auto"/>
              <w:rPr>
                <w:rFonts w:cs="Times New Roman"/>
                <w:szCs w:val="28"/>
                <w:lang w:val="ru-RU"/>
              </w:rPr>
            </w:pPr>
            <w:r w:rsidRPr="000160C5">
              <w:rPr>
                <w:rFonts w:cs="Times New Roman"/>
                <w:szCs w:val="28"/>
                <w:lang w:val="ru-RU"/>
              </w:rPr>
              <w:t>Сведения о кредитных рейтингах эмитента</w:t>
            </w:r>
          </w:p>
          <w:p w:rsidR="00B44308" w:rsidRPr="000160C5" w:rsidRDefault="00B44308" w:rsidP="00B44308">
            <w:pPr>
              <w:pStyle w:val="TNR14"/>
              <w:numPr>
                <w:ilvl w:val="0"/>
                <w:numId w:val="13"/>
              </w:numPr>
              <w:spacing w:line="240" w:lineRule="auto"/>
              <w:rPr>
                <w:rFonts w:cs="Times New Roman"/>
                <w:szCs w:val="28"/>
                <w:lang w:val="ru-RU"/>
              </w:rPr>
            </w:pPr>
            <w:r w:rsidRPr="000160C5">
              <w:rPr>
                <w:rFonts w:cs="Times New Roman"/>
                <w:szCs w:val="28"/>
                <w:lang w:val="ru-RU"/>
              </w:rPr>
              <w:t>Сведения о каждой категории (типе) акций эмитента</w:t>
            </w:r>
          </w:p>
          <w:p w:rsidR="00B44308" w:rsidRPr="000160C5" w:rsidRDefault="00B44308" w:rsidP="00B44308">
            <w:pPr>
              <w:pStyle w:val="TNR14"/>
              <w:numPr>
                <w:ilvl w:val="0"/>
                <w:numId w:val="13"/>
              </w:numPr>
              <w:spacing w:line="240" w:lineRule="auto"/>
              <w:rPr>
                <w:rFonts w:cs="Times New Roman"/>
                <w:szCs w:val="28"/>
                <w:lang w:val="ru-RU"/>
              </w:rPr>
            </w:pPr>
            <w:r w:rsidRPr="000160C5">
              <w:rPr>
                <w:rFonts w:cs="Times New Roman"/>
                <w:szCs w:val="28"/>
                <w:lang w:val="ru-RU"/>
              </w:rPr>
              <w:t>Сведения о предыдущих выпусках эмиссионных ценных бумаг эмитента, за исключением акций эмитента</w:t>
            </w:r>
          </w:p>
          <w:p w:rsidR="00B44308" w:rsidRPr="000160C5" w:rsidRDefault="00B44308" w:rsidP="00B44308">
            <w:pPr>
              <w:pStyle w:val="TNR14"/>
              <w:numPr>
                <w:ilvl w:val="1"/>
                <w:numId w:val="13"/>
              </w:numPr>
              <w:spacing w:line="240" w:lineRule="auto"/>
              <w:rPr>
                <w:rFonts w:cs="Times New Roman"/>
                <w:szCs w:val="28"/>
                <w:lang w:val="ru-RU"/>
              </w:rPr>
            </w:pPr>
            <w:r w:rsidRPr="000160C5">
              <w:rPr>
                <w:rFonts w:cs="Times New Roman"/>
                <w:szCs w:val="28"/>
                <w:lang w:val="ru-RU"/>
              </w:rPr>
              <w:t>Сведения о выпусках, все ценные бумаги которых погашены</w:t>
            </w:r>
          </w:p>
          <w:p w:rsidR="00B44308" w:rsidRPr="000160C5" w:rsidRDefault="00B44308" w:rsidP="00B44308">
            <w:pPr>
              <w:pStyle w:val="TNR14"/>
              <w:numPr>
                <w:ilvl w:val="1"/>
                <w:numId w:val="13"/>
              </w:numPr>
              <w:spacing w:line="240" w:lineRule="auto"/>
              <w:rPr>
                <w:rFonts w:cs="Times New Roman"/>
                <w:szCs w:val="28"/>
                <w:lang w:val="ru-RU"/>
              </w:rPr>
            </w:pPr>
            <w:r w:rsidRPr="000160C5">
              <w:rPr>
                <w:rFonts w:cs="Times New Roman"/>
                <w:szCs w:val="28"/>
                <w:lang w:val="ru-RU"/>
              </w:rPr>
              <w:t>Сведения о выпусках, ценные бумаги которых не являются погашенными</w:t>
            </w:r>
          </w:p>
          <w:p w:rsidR="00B44308" w:rsidRPr="000160C5" w:rsidRDefault="00B44308" w:rsidP="00B44308">
            <w:pPr>
              <w:pStyle w:val="TNR14"/>
              <w:numPr>
                <w:ilvl w:val="0"/>
                <w:numId w:val="13"/>
              </w:numPr>
              <w:spacing w:line="240" w:lineRule="auto"/>
              <w:rPr>
                <w:rFonts w:cs="Times New Roman"/>
                <w:szCs w:val="28"/>
                <w:lang w:val="ru-RU"/>
              </w:rPr>
            </w:pPr>
            <w:r w:rsidRPr="000160C5">
              <w:rPr>
                <w:rFonts w:cs="Times New Roman"/>
                <w:szCs w:val="28"/>
                <w:lang w:val="ru-RU"/>
              </w:rP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B44308" w:rsidRPr="000160C5" w:rsidRDefault="00B44308" w:rsidP="00B44308">
            <w:pPr>
              <w:pStyle w:val="TNR14"/>
              <w:numPr>
                <w:ilvl w:val="0"/>
                <w:numId w:val="13"/>
              </w:numPr>
              <w:spacing w:line="240" w:lineRule="auto"/>
              <w:rPr>
                <w:rFonts w:cs="Times New Roman"/>
                <w:szCs w:val="28"/>
                <w:lang w:val="ru-RU"/>
              </w:rPr>
            </w:pPr>
            <w:r w:rsidRPr="000160C5">
              <w:rPr>
                <w:rFonts w:cs="Times New Roman"/>
                <w:szCs w:val="28"/>
                <w:lang w:val="ru-RU"/>
              </w:rPr>
              <w:t>Сведения об организациях, осуществляющих учет прав на эмиссионные ценные бумаги эмитента</w:t>
            </w:r>
          </w:p>
          <w:p w:rsidR="00B44308" w:rsidRPr="000160C5" w:rsidRDefault="00B44308" w:rsidP="00B44308">
            <w:pPr>
              <w:pStyle w:val="TNR14"/>
              <w:numPr>
                <w:ilvl w:val="0"/>
                <w:numId w:val="13"/>
              </w:numPr>
              <w:spacing w:line="240" w:lineRule="auto"/>
              <w:rPr>
                <w:rFonts w:cs="Times New Roman"/>
                <w:szCs w:val="28"/>
                <w:lang w:val="ru-RU"/>
              </w:rPr>
            </w:pPr>
            <w:r w:rsidRPr="000160C5">
              <w:rPr>
                <w:rFonts w:cs="Times New Roman"/>
                <w:szCs w:val="28"/>
                <w:lang w:val="ru-RU"/>
              </w:rPr>
              <w:t xml:space="preserve">Сведения о законодательных актах, регулирующих вопросы импорта и экспорта капитала, которые могут повлиять на выплату дивидендов, </w:t>
            </w:r>
            <w:r w:rsidRPr="000160C5">
              <w:rPr>
                <w:rFonts w:cs="Times New Roman"/>
                <w:szCs w:val="28"/>
                <w:lang w:val="ru-RU"/>
              </w:rPr>
              <w:lastRenderedPageBreak/>
              <w:t>процентов и других платежей нерезидентам</w:t>
            </w:r>
          </w:p>
          <w:p w:rsidR="00B44308" w:rsidRPr="000160C5" w:rsidRDefault="00B44308" w:rsidP="00B44308">
            <w:pPr>
              <w:pStyle w:val="TNR14"/>
              <w:numPr>
                <w:ilvl w:val="0"/>
                <w:numId w:val="13"/>
              </w:numPr>
              <w:spacing w:line="240" w:lineRule="auto"/>
              <w:rPr>
                <w:rFonts w:cs="Times New Roman"/>
                <w:szCs w:val="28"/>
                <w:lang w:val="ru-RU"/>
              </w:rPr>
            </w:pPr>
            <w:r w:rsidRPr="000160C5">
              <w:rPr>
                <w:rFonts w:cs="Times New Roman"/>
                <w:szCs w:val="28"/>
                <w:lang w:val="ru-RU"/>
              </w:rPr>
              <w:t>Описание порядка налогообложения доходов по размещенным и размещаемым эмиссионным ценным бумагам эмитента</w:t>
            </w:r>
          </w:p>
          <w:p w:rsidR="00B44308" w:rsidRPr="000160C5" w:rsidRDefault="00B44308" w:rsidP="00B44308">
            <w:pPr>
              <w:pStyle w:val="TNR14"/>
              <w:numPr>
                <w:ilvl w:val="0"/>
                <w:numId w:val="13"/>
              </w:numPr>
              <w:spacing w:line="240" w:lineRule="auto"/>
              <w:rPr>
                <w:rFonts w:cs="Times New Roman"/>
                <w:szCs w:val="28"/>
                <w:lang w:val="ru-RU"/>
              </w:rPr>
            </w:pPr>
            <w:proofErr w:type="gramStart"/>
            <w:r w:rsidRPr="000160C5">
              <w:rPr>
                <w:rFonts w:cs="Times New Roman"/>
                <w:szCs w:val="28"/>
                <w:lang w:val="ru-RU"/>
              </w:rPr>
              <w:t>Сведения об объявленных (начисленных) и о выплаченных дивидендах по акциям эмитента, а также о доходах по облигациям эмитента</w:t>
            </w:r>
            <w:proofErr w:type="gramEnd"/>
          </w:p>
          <w:p w:rsidR="00B44308" w:rsidRPr="000160C5" w:rsidRDefault="00B44308" w:rsidP="00B44308">
            <w:pPr>
              <w:pStyle w:val="TNR14"/>
              <w:numPr>
                <w:ilvl w:val="0"/>
                <w:numId w:val="13"/>
              </w:numPr>
              <w:spacing w:line="240" w:lineRule="auto"/>
              <w:rPr>
                <w:rFonts w:cs="Times New Roman"/>
                <w:szCs w:val="28"/>
                <w:lang w:val="ru-RU"/>
              </w:rPr>
            </w:pPr>
            <w:r w:rsidRPr="000160C5">
              <w:rPr>
                <w:rFonts w:cs="Times New Roman"/>
                <w:szCs w:val="28"/>
                <w:lang w:val="ru-RU"/>
              </w:rPr>
              <w:t>Иные сведения</w:t>
            </w:r>
          </w:p>
          <w:p w:rsidR="00B44308" w:rsidRPr="00296F15" w:rsidRDefault="00B44308" w:rsidP="00915920">
            <w:pPr>
              <w:pStyle w:val="TNR14"/>
              <w:spacing w:line="240" w:lineRule="auto"/>
              <w:rPr>
                <w:rFonts w:cs="Times New Roman"/>
                <w:szCs w:val="28"/>
                <w:lang w:val="ru-RU"/>
              </w:rPr>
            </w:pPr>
            <w:r w:rsidRPr="000160C5">
              <w:rPr>
                <w:rFonts w:cs="Times New Roman"/>
                <w:szCs w:val="28"/>
                <w:lang w:val="ru-RU"/>
              </w:rPr>
              <w:t xml:space="preserve">Сведения о представляемых ценных бумагах и эмитенте представляемых ценных бумаг, право </w:t>
            </w:r>
            <w:proofErr w:type="gramStart"/>
            <w:r w:rsidRPr="000160C5">
              <w:rPr>
                <w:rFonts w:cs="Times New Roman"/>
                <w:szCs w:val="28"/>
                <w:lang w:val="ru-RU"/>
              </w:rPr>
              <w:t>собственности</w:t>
            </w:r>
            <w:proofErr w:type="gramEnd"/>
            <w:r w:rsidRPr="000160C5">
              <w:rPr>
                <w:rFonts w:cs="Times New Roman"/>
                <w:szCs w:val="28"/>
                <w:lang w:val="ru-RU"/>
              </w:rPr>
              <w:t xml:space="preserve"> на которые удостоверяется российскими депозитарными расписками</w:t>
            </w:r>
          </w:p>
          <w:p w:rsidR="00DD6B58" w:rsidRPr="00296F15" w:rsidRDefault="00DD6B58" w:rsidP="00915920">
            <w:pPr>
              <w:pStyle w:val="TNR14"/>
              <w:spacing w:line="240" w:lineRule="auto"/>
              <w:rPr>
                <w:rFonts w:cs="Times New Roman"/>
                <w:szCs w:val="28"/>
                <w:lang w:val="ru-RU"/>
              </w:rPr>
            </w:pPr>
          </w:p>
        </w:tc>
        <w:tc>
          <w:tcPr>
            <w:tcW w:w="4786" w:type="dxa"/>
          </w:tcPr>
          <w:p w:rsidR="00B44308" w:rsidRPr="000160C5" w:rsidRDefault="00B44308" w:rsidP="00915920">
            <w:pPr>
              <w:pStyle w:val="TNR14"/>
              <w:keepNext/>
              <w:keepLines/>
              <w:widowControl w:val="0"/>
              <w:spacing w:line="240" w:lineRule="auto"/>
              <w:rPr>
                <w:rFonts w:cs="Times New Roman"/>
                <w:szCs w:val="28"/>
                <w:lang w:val="ru-RU"/>
              </w:rPr>
            </w:pPr>
            <w:r w:rsidRPr="000160C5">
              <w:rPr>
                <w:rFonts w:cs="Times New Roman"/>
                <w:szCs w:val="28"/>
                <w:lang w:val="ru-RU"/>
              </w:rPr>
              <w:lastRenderedPageBreak/>
              <w:t>Общая информация об эмитенте и ценных бумагах</w:t>
            </w:r>
          </w:p>
          <w:p w:rsidR="00B44308" w:rsidRPr="000160C5" w:rsidRDefault="00B44308" w:rsidP="00B44308">
            <w:pPr>
              <w:pStyle w:val="TNR14"/>
              <w:keepNext/>
              <w:keepLines/>
              <w:widowControl w:val="0"/>
              <w:numPr>
                <w:ilvl w:val="0"/>
                <w:numId w:val="14"/>
              </w:numPr>
              <w:spacing w:line="240" w:lineRule="auto"/>
              <w:rPr>
                <w:rFonts w:cs="Times New Roman"/>
                <w:szCs w:val="28"/>
                <w:lang w:val="ru-RU"/>
              </w:rPr>
            </w:pPr>
            <w:r w:rsidRPr="000160C5">
              <w:rPr>
                <w:rFonts w:cs="Times New Roman"/>
                <w:szCs w:val="28"/>
                <w:lang w:val="ru-RU"/>
              </w:rPr>
              <w:t>Часть 1. Финансовая информация</w:t>
            </w:r>
          </w:p>
          <w:p w:rsidR="00B44308" w:rsidRPr="000160C5" w:rsidRDefault="00B44308" w:rsidP="00B44308">
            <w:pPr>
              <w:pStyle w:val="TNR14"/>
              <w:keepNext/>
              <w:keepLines/>
              <w:widowControl w:val="0"/>
              <w:numPr>
                <w:ilvl w:val="1"/>
                <w:numId w:val="14"/>
              </w:numPr>
              <w:spacing w:line="240" w:lineRule="auto"/>
              <w:rPr>
                <w:rFonts w:cs="Times New Roman"/>
                <w:szCs w:val="28"/>
                <w:lang w:val="ru-RU"/>
              </w:rPr>
            </w:pPr>
            <w:r w:rsidRPr="000160C5">
              <w:rPr>
                <w:rFonts w:cs="Times New Roman"/>
                <w:szCs w:val="28"/>
                <w:lang w:val="ru-RU"/>
              </w:rPr>
              <w:t>Финансовые отчеты</w:t>
            </w:r>
          </w:p>
          <w:p w:rsidR="00B44308" w:rsidRPr="000160C5" w:rsidRDefault="00B44308" w:rsidP="00B44308">
            <w:pPr>
              <w:pStyle w:val="a3"/>
              <w:keepNext/>
              <w:keepLines/>
              <w:widowControl w:val="0"/>
              <w:numPr>
                <w:ilvl w:val="1"/>
                <w:numId w:val="14"/>
              </w:numPr>
              <w:jc w:val="both"/>
              <w:rPr>
                <w:rFonts w:ascii="Times New Roman" w:hAnsi="Times New Roman" w:cs="Times New Roman"/>
                <w:sz w:val="28"/>
                <w:szCs w:val="28"/>
              </w:rPr>
            </w:pPr>
            <w:r w:rsidRPr="000160C5">
              <w:rPr>
                <w:rFonts w:ascii="Times New Roman" w:hAnsi="Times New Roman" w:cs="Times New Roman"/>
                <w:sz w:val="28"/>
                <w:szCs w:val="28"/>
              </w:rPr>
              <w:t>Представленные суждения и мнение руководства относительно финансового положения эмитента и результатов деятельности;</w:t>
            </w:r>
          </w:p>
          <w:p w:rsidR="00B44308" w:rsidRPr="000160C5" w:rsidRDefault="00B44308" w:rsidP="00B44308">
            <w:pPr>
              <w:pStyle w:val="a3"/>
              <w:keepNext/>
              <w:keepLines/>
              <w:widowControl w:val="0"/>
              <w:numPr>
                <w:ilvl w:val="1"/>
                <w:numId w:val="14"/>
              </w:numPr>
              <w:jc w:val="both"/>
              <w:rPr>
                <w:rFonts w:ascii="Times New Roman" w:hAnsi="Times New Roman" w:cs="Times New Roman"/>
                <w:sz w:val="28"/>
                <w:szCs w:val="28"/>
              </w:rPr>
            </w:pPr>
            <w:r w:rsidRPr="000160C5">
              <w:rPr>
                <w:rFonts w:ascii="Times New Roman" w:hAnsi="Times New Roman" w:cs="Times New Roman"/>
                <w:sz w:val="28"/>
                <w:szCs w:val="28"/>
              </w:rPr>
              <w:t>Количественные и качественные показатели факторов риска рынка;</w:t>
            </w:r>
          </w:p>
          <w:p w:rsidR="00B44308" w:rsidRPr="000160C5" w:rsidRDefault="00B44308" w:rsidP="00B44308">
            <w:pPr>
              <w:pStyle w:val="a3"/>
              <w:keepNext/>
              <w:keepLines/>
              <w:widowControl w:val="0"/>
              <w:numPr>
                <w:ilvl w:val="1"/>
                <w:numId w:val="14"/>
              </w:numPr>
              <w:jc w:val="both"/>
              <w:rPr>
                <w:rFonts w:ascii="Times New Roman" w:hAnsi="Times New Roman" w:cs="Times New Roman"/>
                <w:sz w:val="28"/>
                <w:szCs w:val="28"/>
              </w:rPr>
            </w:pPr>
            <w:r w:rsidRPr="000160C5">
              <w:rPr>
                <w:rFonts w:ascii="Times New Roman" w:hAnsi="Times New Roman" w:cs="Times New Roman"/>
                <w:sz w:val="28"/>
                <w:szCs w:val="28"/>
              </w:rPr>
              <w:t xml:space="preserve">Заключение компетентного должностного лица относительно эффективности контроля и процедуры раскрытия информации, а также отчет руководства об осуществлении внутреннего </w:t>
            </w:r>
            <w:proofErr w:type="gramStart"/>
            <w:r w:rsidRPr="000160C5">
              <w:rPr>
                <w:rFonts w:ascii="Times New Roman" w:hAnsi="Times New Roman" w:cs="Times New Roman"/>
                <w:sz w:val="28"/>
                <w:szCs w:val="28"/>
              </w:rPr>
              <w:t>контроля за</w:t>
            </w:r>
            <w:proofErr w:type="gramEnd"/>
            <w:r w:rsidRPr="000160C5">
              <w:rPr>
                <w:rFonts w:ascii="Times New Roman" w:hAnsi="Times New Roman" w:cs="Times New Roman"/>
                <w:sz w:val="28"/>
                <w:szCs w:val="28"/>
              </w:rPr>
              <w:t xml:space="preserve"> финансовой отчетностью;</w:t>
            </w:r>
          </w:p>
          <w:p w:rsidR="00B44308" w:rsidRPr="000160C5" w:rsidRDefault="00B44308" w:rsidP="00B44308">
            <w:pPr>
              <w:pStyle w:val="TNR14"/>
              <w:keepNext/>
              <w:keepLines/>
              <w:widowControl w:val="0"/>
              <w:numPr>
                <w:ilvl w:val="0"/>
                <w:numId w:val="14"/>
              </w:numPr>
              <w:spacing w:line="240" w:lineRule="auto"/>
              <w:rPr>
                <w:rFonts w:cs="Times New Roman"/>
                <w:szCs w:val="28"/>
                <w:lang w:val="ru-RU"/>
              </w:rPr>
            </w:pPr>
            <w:r w:rsidRPr="000160C5">
              <w:rPr>
                <w:rFonts w:cs="Times New Roman"/>
                <w:szCs w:val="28"/>
                <w:lang w:val="ru-RU"/>
              </w:rPr>
              <w:t>Часть 2. Иная информация</w:t>
            </w:r>
          </w:p>
          <w:p w:rsidR="00B44308" w:rsidRPr="000160C5" w:rsidRDefault="00B44308" w:rsidP="00B44308">
            <w:pPr>
              <w:pStyle w:val="a3"/>
              <w:keepNext/>
              <w:keepLines/>
              <w:widowControl w:val="0"/>
              <w:numPr>
                <w:ilvl w:val="1"/>
                <w:numId w:val="14"/>
              </w:numPr>
              <w:jc w:val="both"/>
              <w:rPr>
                <w:rFonts w:ascii="Times New Roman" w:hAnsi="Times New Roman" w:cs="Times New Roman"/>
                <w:sz w:val="28"/>
                <w:szCs w:val="28"/>
              </w:rPr>
            </w:pPr>
            <w:r w:rsidRPr="000160C5">
              <w:rPr>
                <w:rFonts w:ascii="Times New Roman" w:hAnsi="Times New Roman" w:cs="Times New Roman"/>
                <w:sz w:val="28"/>
                <w:szCs w:val="28"/>
              </w:rPr>
              <w:t>Краткая информация о существенных текущих судебных и административных процессах, в которых эмитент является участником;</w:t>
            </w:r>
          </w:p>
          <w:p w:rsidR="00B44308" w:rsidRPr="000160C5" w:rsidRDefault="00B44308" w:rsidP="00B44308">
            <w:pPr>
              <w:pStyle w:val="TNR14"/>
              <w:keepNext/>
              <w:keepLines/>
              <w:widowControl w:val="0"/>
              <w:numPr>
                <w:ilvl w:val="1"/>
                <w:numId w:val="14"/>
              </w:numPr>
              <w:spacing w:line="240" w:lineRule="auto"/>
              <w:rPr>
                <w:rFonts w:cs="Times New Roman"/>
                <w:szCs w:val="28"/>
                <w:lang w:val="ru-RU"/>
              </w:rPr>
            </w:pPr>
            <w:r w:rsidRPr="000160C5">
              <w:rPr>
                <w:rFonts w:cs="Times New Roman"/>
                <w:szCs w:val="28"/>
                <w:lang w:val="ru-RU"/>
              </w:rPr>
              <w:t>Информация о любых произошедших изменениях в факторах риска, раскрытых в годовом отчете эмитента</w:t>
            </w:r>
          </w:p>
          <w:p w:rsidR="00B44308" w:rsidRPr="000160C5" w:rsidRDefault="00B44308" w:rsidP="00B44308">
            <w:pPr>
              <w:pStyle w:val="TNR14"/>
              <w:keepNext/>
              <w:keepLines/>
              <w:widowControl w:val="0"/>
              <w:numPr>
                <w:ilvl w:val="1"/>
                <w:numId w:val="14"/>
              </w:numPr>
              <w:spacing w:line="240" w:lineRule="auto"/>
              <w:rPr>
                <w:rFonts w:cs="Times New Roman"/>
                <w:szCs w:val="28"/>
                <w:lang w:val="ru-RU"/>
              </w:rPr>
            </w:pPr>
            <w:r w:rsidRPr="000160C5">
              <w:rPr>
                <w:rFonts w:cs="Times New Roman"/>
                <w:szCs w:val="28"/>
                <w:lang w:val="ru-RU"/>
              </w:rPr>
              <w:t xml:space="preserve">Информация о продаже </w:t>
            </w:r>
            <w:r w:rsidRPr="000160C5">
              <w:rPr>
                <w:rFonts w:cs="Times New Roman"/>
                <w:szCs w:val="28"/>
                <w:lang w:val="ru-RU"/>
              </w:rPr>
              <w:lastRenderedPageBreak/>
              <w:t>ценных бумаг, не подлежащих регистрации в Комиссии США, если данная информация не была включена в текущий отчет по форме 8-</w:t>
            </w:r>
            <w:r w:rsidRPr="000160C5">
              <w:rPr>
                <w:rFonts w:cs="Times New Roman"/>
                <w:szCs w:val="28"/>
              </w:rPr>
              <w:t>K</w:t>
            </w:r>
          </w:p>
          <w:p w:rsidR="00B44308" w:rsidRPr="000160C5" w:rsidRDefault="00B44308" w:rsidP="00B44308">
            <w:pPr>
              <w:pStyle w:val="a3"/>
              <w:keepNext/>
              <w:keepLines/>
              <w:widowControl w:val="0"/>
              <w:numPr>
                <w:ilvl w:val="1"/>
                <w:numId w:val="14"/>
              </w:numPr>
              <w:jc w:val="both"/>
              <w:rPr>
                <w:rFonts w:ascii="Times New Roman" w:hAnsi="Times New Roman" w:cs="Times New Roman"/>
                <w:sz w:val="28"/>
                <w:szCs w:val="28"/>
              </w:rPr>
            </w:pPr>
            <w:r w:rsidRPr="000160C5">
              <w:rPr>
                <w:rFonts w:ascii="Times New Roman" w:hAnsi="Times New Roman" w:cs="Times New Roman"/>
                <w:sz w:val="28"/>
                <w:szCs w:val="28"/>
              </w:rPr>
              <w:t>Информация о выкупе</w:t>
            </w:r>
            <w:r w:rsidR="009E7EB6" w:rsidRPr="000160C5">
              <w:rPr>
                <w:rFonts w:ascii="Times New Roman" w:hAnsi="Times New Roman" w:cs="Times New Roman"/>
                <w:sz w:val="28"/>
                <w:szCs w:val="28"/>
              </w:rPr>
              <w:t xml:space="preserve"> </w:t>
            </w:r>
            <w:r w:rsidRPr="000160C5">
              <w:rPr>
                <w:rFonts w:ascii="Times New Roman" w:hAnsi="Times New Roman" w:cs="Times New Roman"/>
                <w:sz w:val="28"/>
                <w:szCs w:val="28"/>
              </w:rPr>
              <w:t>ценных бумаг, совершенных эмитентом и аффилированными с ним лицами</w:t>
            </w:r>
          </w:p>
          <w:p w:rsidR="00B44308" w:rsidRPr="000160C5" w:rsidRDefault="00B44308" w:rsidP="00B44308">
            <w:pPr>
              <w:pStyle w:val="TNR14"/>
              <w:keepNext/>
              <w:keepLines/>
              <w:widowControl w:val="0"/>
              <w:numPr>
                <w:ilvl w:val="1"/>
                <w:numId w:val="14"/>
              </w:numPr>
              <w:spacing w:line="240" w:lineRule="auto"/>
              <w:rPr>
                <w:rFonts w:cs="Times New Roman"/>
                <w:szCs w:val="28"/>
                <w:lang w:val="ru-RU"/>
              </w:rPr>
            </w:pPr>
            <w:r w:rsidRPr="000160C5">
              <w:rPr>
                <w:rFonts w:cs="Times New Roman"/>
                <w:szCs w:val="28"/>
                <w:lang w:val="ru-RU"/>
              </w:rPr>
              <w:t>Информация о дефолтах по ценным бумагам эмитента и аффилированных с ним лиц при просрочке более 30 дней и сумме неисполненных обязательств, превышающей 5% общей стоимости активов</w:t>
            </w:r>
          </w:p>
          <w:p w:rsidR="00B44308" w:rsidRPr="000160C5" w:rsidRDefault="00B44308" w:rsidP="00B44308">
            <w:pPr>
              <w:pStyle w:val="TNR14"/>
              <w:keepNext/>
              <w:keepLines/>
              <w:widowControl w:val="0"/>
              <w:numPr>
                <w:ilvl w:val="1"/>
                <w:numId w:val="14"/>
              </w:numPr>
              <w:spacing w:line="240" w:lineRule="auto"/>
              <w:rPr>
                <w:rFonts w:cs="Times New Roman"/>
                <w:szCs w:val="28"/>
                <w:lang w:val="ru-RU"/>
              </w:rPr>
            </w:pPr>
            <w:r w:rsidRPr="000160C5">
              <w:rPr>
                <w:rFonts w:cs="Times New Roman"/>
                <w:szCs w:val="28"/>
                <w:lang w:val="ru-RU"/>
              </w:rPr>
              <w:t>Информация о задолженностях по выплате дивидендов при просрочке более 30 дней</w:t>
            </w:r>
          </w:p>
          <w:p w:rsidR="00B44308" w:rsidRPr="000160C5" w:rsidRDefault="00B44308" w:rsidP="00B44308">
            <w:pPr>
              <w:pStyle w:val="a3"/>
              <w:keepNext/>
              <w:keepLines/>
              <w:widowControl w:val="0"/>
              <w:numPr>
                <w:ilvl w:val="1"/>
                <w:numId w:val="14"/>
              </w:numPr>
              <w:jc w:val="both"/>
              <w:rPr>
                <w:rFonts w:ascii="Times New Roman" w:eastAsia="Times New Roman" w:hAnsi="Times New Roman" w:cs="Times New Roman"/>
                <w:sz w:val="28"/>
                <w:szCs w:val="28"/>
                <w:lang w:eastAsia="ru-RU"/>
              </w:rPr>
            </w:pPr>
            <w:r w:rsidRPr="000160C5">
              <w:rPr>
                <w:rFonts w:ascii="Times New Roman" w:eastAsia="Times New Roman" w:hAnsi="Times New Roman" w:cs="Times New Roman"/>
                <w:sz w:val="28"/>
                <w:szCs w:val="28"/>
                <w:lang w:eastAsia="ru-RU"/>
              </w:rPr>
              <w:t>Информация по соблюдению безопасности добыче полезных ископаемых (если применимо)</w:t>
            </w:r>
          </w:p>
          <w:p w:rsidR="00B44308" w:rsidRPr="000160C5" w:rsidRDefault="00B44308" w:rsidP="00B44308">
            <w:pPr>
              <w:pStyle w:val="TNR14"/>
              <w:keepNext/>
              <w:keepLines/>
              <w:widowControl w:val="0"/>
              <w:numPr>
                <w:ilvl w:val="1"/>
                <w:numId w:val="14"/>
              </w:numPr>
              <w:spacing w:line="240" w:lineRule="auto"/>
              <w:rPr>
                <w:rFonts w:cs="Times New Roman"/>
                <w:szCs w:val="28"/>
                <w:lang w:val="ru-RU"/>
              </w:rPr>
            </w:pPr>
            <w:r w:rsidRPr="000160C5">
              <w:rPr>
                <w:rFonts w:cs="Times New Roman"/>
                <w:szCs w:val="28"/>
                <w:lang w:val="ru-RU"/>
              </w:rPr>
              <w:t xml:space="preserve"> Информация, которая должна быть раскрыта в текущем отчете по форме 8-</w:t>
            </w:r>
            <w:r w:rsidRPr="000160C5">
              <w:rPr>
                <w:rFonts w:cs="Times New Roman"/>
                <w:szCs w:val="28"/>
              </w:rPr>
              <w:t>K</w:t>
            </w:r>
            <w:r w:rsidRPr="000160C5">
              <w:rPr>
                <w:rFonts w:cs="Times New Roman"/>
                <w:szCs w:val="28"/>
                <w:lang w:val="ru-RU"/>
              </w:rPr>
              <w:t>, но не была раскрыта в соответствующем отчете</w:t>
            </w:r>
          </w:p>
          <w:p w:rsidR="00B44308" w:rsidRPr="000160C5" w:rsidRDefault="00B44308" w:rsidP="00B44308">
            <w:pPr>
              <w:pStyle w:val="TNR14"/>
              <w:keepNext/>
              <w:keepLines/>
              <w:widowControl w:val="0"/>
              <w:numPr>
                <w:ilvl w:val="1"/>
                <w:numId w:val="14"/>
              </w:numPr>
              <w:spacing w:line="240" w:lineRule="auto"/>
              <w:rPr>
                <w:rFonts w:cs="Times New Roman"/>
                <w:szCs w:val="28"/>
                <w:lang w:val="ru-RU"/>
              </w:rPr>
            </w:pPr>
            <w:r w:rsidRPr="000160C5">
              <w:rPr>
                <w:rFonts w:cs="Times New Roman"/>
                <w:szCs w:val="28"/>
                <w:lang w:val="ru-RU"/>
              </w:rPr>
              <w:t>Информация о существенных изменениях в процедуре  выдвижения кандидатов в совет директоров</w:t>
            </w:r>
          </w:p>
          <w:p w:rsidR="00B44308" w:rsidRPr="000160C5" w:rsidRDefault="00B44308" w:rsidP="00B44308">
            <w:pPr>
              <w:pStyle w:val="TNR14"/>
              <w:keepNext/>
              <w:keepLines/>
              <w:widowControl w:val="0"/>
              <w:numPr>
                <w:ilvl w:val="1"/>
                <w:numId w:val="14"/>
              </w:numPr>
              <w:spacing w:line="240" w:lineRule="auto"/>
              <w:rPr>
                <w:rFonts w:cs="Times New Roman"/>
                <w:szCs w:val="28"/>
                <w:lang w:val="ru-RU"/>
              </w:rPr>
            </w:pPr>
            <w:r w:rsidRPr="000160C5">
              <w:rPr>
                <w:rFonts w:cs="Times New Roman"/>
                <w:szCs w:val="28"/>
                <w:lang w:val="ru-RU"/>
              </w:rPr>
              <w:t xml:space="preserve">Все требуемые приложения. </w:t>
            </w:r>
          </w:p>
        </w:tc>
      </w:tr>
    </w:tbl>
    <w:p w:rsidR="00CD56A8" w:rsidRPr="000160C5" w:rsidRDefault="00CD56A8" w:rsidP="005901E8">
      <w:pPr>
        <w:pStyle w:val="TNR14"/>
        <w:keepNext/>
        <w:widowControl w:val="0"/>
        <w:rPr>
          <w:rFonts w:cs="Times New Roman"/>
          <w:szCs w:val="28"/>
          <w:lang w:val="ru-RU"/>
        </w:rPr>
      </w:pPr>
    </w:p>
    <w:p w:rsidR="00A30806" w:rsidRPr="000160C5" w:rsidRDefault="00A30806">
      <w:pPr>
        <w:rPr>
          <w:rFonts w:ascii="Times New Roman" w:hAnsi="Times New Roman" w:cs="Times New Roman"/>
          <w:sz w:val="28"/>
          <w:szCs w:val="28"/>
        </w:rPr>
      </w:pPr>
      <w:r w:rsidRPr="000160C5">
        <w:rPr>
          <w:rFonts w:ascii="Times New Roman" w:hAnsi="Times New Roman" w:cs="Times New Roman"/>
          <w:sz w:val="28"/>
          <w:szCs w:val="28"/>
        </w:rPr>
        <w:br w:type="page"/>
      </w:r>
    </w:p>
    <w:p w:rsidR="00A30806" w:rsidRPr="000160C5" w:rsidRDefault="00A30806" w:rsidP="00A30806">
      <w:pPr>
        <w:pStyle w:val="1"/>
        <w:keepLines w:val="0"/>
        <w:widowControl w:val="0"/>
        <w:rPr>
          <w:rFonts w:cs="Times New Roman"/>
        </w:rPr>
      </w:pPr>
      <w:bookmarkStart w:id="35" w:name="_Приложение_5._Сравнительная"/>
      <w:bookmarkStart w:id="36" w:name="_Приложение_3._Сравнительная"/>
      <w:bookmarkStart w:id="37" w:name="_Toc356162070"/>
      <w:bookmarkEnd w:id="35"/>
      <w:bookmarkEnd w:id="36"/>
      <w:r w:rsidRPr="000160C5">
        <w:rPr>
          <w:rFonts w:cs="Times New Roman"/>
        </w:rPr>
        <w:lastRenderedPageBreak/>
        <w:t xml:space="preserve">Приложение </w:t>
      </w:r>
      <w:r w:rsidR="00DD6B58" w:rsidRPr="00296F15">
        <w:rPr>
          <w:rFonts w:cs="Times New Roman"/>
        </w:rPr>
        <w:t>3</w:t>
      </w:r>
      <w:r w:rsidRPr="000160C5">
        <w:rPr>
          <w:rFonts w:cs="Times New Roman"/>
        </w:rPr>
        <w:t>. Сравнительная таблица «Содержание сообщений о существенных фактах и текущего отчета эмитента в России и США»</w:t>
      </w:r>
      <w:bookmarkEnd w:id="37"/>
    </w:p>
    <w:tbl>
      <w:tblPr>
        <w:tblStyle w:val="af5"/>
        <w:tblW w:w="0" w:type="auto"/>
        <w:tblLook w:val="04A0"/>
      </w:tblPr>
      <w:tblGrid>
        <w:gridCol w:w="4784"/>
        <w:gridCol w:w="4786"/>
      </w:tblGrid>
      <w:tr w:rsidR="00A30806" w:rsidRPr="000160C5" w:rsidTr="00915920">
        <w:tc>
          <w:tcPr>
            <w:tcW w:w="4785" w:type="dxa"/>
          </w:tcPr>
          <w:p w:rsidR="00A30806" w:rsidRPr="000160C5" w:rsidRDefault="00A30806" w:rsidP="00915920">
            <w:pPr>
              <w:pStyle w:val="TNR14"/>
              <w:spacing w:line="240" w:lineRule="auto"/>
              <w:rPr>
                <w:rFonts w:cs="Times New Roman"/>
                <w:szCs w:val="28"/>
                <w:lang w:val="ru-RU"/>
              </w:rPr>
            </w:pPr>
            <w:r w:rsidRPr="000160C5">
              <w:rPr>
                <w:rFonts w:eastAsia="Times New Roman" w:cs="Times New Roman"/>
                <w:szCs w:val="28"/>
                <w:lang w:val="ru-RU" w:eastAsia="ru-RU"/>
              </w:rPr>
              <w:t>Содержание сообщений о существенных фактах по российскому законодательству (раздел 6.2 Положения о раскрытии информации)</w:t>
            </w:r>
          </w:p>
        </w:tc>
        <w:tc>
          <w:tcPr>
            <w:tcW w:w="4786" w:type="dxa"/>
          </w:tcPr>
          <w:p w:rsidR="00A30806" w:rsidRPr="000160C5" w:rsidRDefault="00A30806" w:rsidP="00915920">
            <w:pPr>
              <w:keepNext/>
              <w:widowControl w:val="0"/>
              <w:jc w:val="both"/>
              <w:rPr>
                <w:rFonts w:ascii="Times New Roman" w:hAnsi="Times New Roman" w:cs="Times New Roman"/>
                <w:sz w:val="28"/>
                <w:szCs w:val="28"/>
              </w:rPr>
            </w:pPr>
            <w:r w:rsidRPr="000160C5">
              <w:rPr>
                <w:rFonts w:ascii="Times New Roman" w:eastAsia="Times New Roman" w:hAnsi="Times New Roman" w:cs="Times New Roman"/>
                <w:sz w:val="28"/>
                <w:szCs w:val="28"/>
                <w:lang w:eastAsia="ru-RU"/>
              </w:rPr>
              <w:t>Содержание текущего отчета эмитента по законодательству США (</w:t>
            </w:r>
            <w:r w:rsidRPr="000160C5">
              <w:rPr>
                <w:rFonts w:ascii="Times New Roman" w:hAnsi="Times New Roman" w:cs="Times New Roman"/>
                <w:sz w:val="28"/>
                <w:szCs w:val="28"/>
                <w:lang w:val="en-US"/>
              </w:rPr>
              <w:t>Current</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report</w:t>
            </w:r>
            <w:r w:rsidRPr="000160C5">
              <w:rPr>
                <w:rFonts w:ascii="Times New Roman" w:hAnsi="Times New Roman" w:cs="Times New Roman"/>
                <w:sz w:val="28"/>
                <w:szCs w:val="28"/>
              </w:rPr>
              <w:t xml:space="preserve">, </w:t>
            </w:r>
            <w:r w:rsidRPr="000160C5">
              <w:rPr>
                <w:rFonts w:ascii="Times New Roman" w:hAnsi="Times New Roman" w:cs="Times New Roman"/>
                <w:sz w:val="28"/>
                <w:szCs w:val="28"/>
                <w:lang w:val="en-US"/>
              </w:rPr>
              <w:t>form</w:t>
            </w:r>
            <w:r w:rsidRPr="000160C5">
              <w:rPr>
                <w:rFonts w:ascii="Times New Roman" w:hAnsi="Times New Roman" w:cs="Times New Roman"/>
                <w:sz w:val="28"/>
                <w:szCs w:val="28"/>
              </w:rPr>
              <w:t xml:space="preserve"> 8-</w:t>
            </w:r>
            <w:r w:rsidRPr="000160C5">
              <w:rPr>
                <w:rFonts w:ascii="Times New Roman" w:hAnsi="Times New Roman" w:cs="Times New Roman"/>
                <w:sz w:val="28"/>
                <w:szCs w:val="28"/>
                <w:lang w:val="en-US"/>
              </w:rPr>
              <w:t>K</w:t>
            </w:r>
            <w:r w:rsidRPr="000160C5">
              <w:rPr>
                <w:rFonts w:ascii="Times New Roman" w:hAnsi="Times New Roman" w:cs="Times New Roman"/>
                <w:sz w:val="28"/>
                <w:szCs w:val="28"/>
              </w:rPr>
              <w:t>)</w:t>
            </w:r>
          </w:p>
          <w:p w:rsidR="00A30806" w:rsidRPr="000160C5" w:rsidRDefault="00A30806" w:rsidP="00915920">
            <w:pPr>
              <w:pStyle w:val="TNR14"/>
              <w:spacing w:line="240" w:lineRule="auto"/>
              <w:rPr>
                <w:rFonts w:cs="Times New Roman"/>
                <w:szCs w:val="28"/>
                <w:lang w:val="ru-RU"/>
              </w:rPr>
            </w:pPr>
          </w:p>
        </w:tc>
      </w:tr>
      <w:tr w:rsidR="00A30806" w:rsidRPr="000160C5" w:rsidTr="00915920">
        <w:tc>
          <w:tcPr>
            <w:tcW w:w="4785" w:type="dxa"/>
          </w:tcPr>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1) о созыве, проведении и принятых решения общего собрания участников (акционеров) эмитента;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2) о проведении заседания совета директоров эмитента и его повестке дня, а также о некоторых (нормативно установленных) принятых им решениях;</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3) о фактах непринятия советом директоров эмитента решений, которые должны быть приняты в соответствии с федеральными законами, а также решений, перечень которых установлен актами ФСФР;</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4) о направлении эмитентом заявления о внесении в ЕГРЮЛ записей, связанных с реорганизацией, прекращением деятельности или с ликвидацией эмитента, а в случае принятия ФНС решения об отказе во внесении указанных записей - сведения о принятии такого решения;</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5) о появлен</w:t>
            </w:r>
            <w:proofErr w:type="gramStart"/>
            <w:r w:rsidRPr="000160C5">
              <w:rPr>
                <w:rFonts w:cs="Times New Roman"/>
                <w:szCs w:val="28"/>
                <w:lang w:val="ru-RU"/>
              </w:rPr>
              <w:t>ии у э</w:t>
            </w:r>
            <w:proofErr w:type="gramEnd"/>
            <w:r w:rsidRPr="000160C5">
              <w:rPr>
                <w:rFonts w:cs="Times New Roman"/>
                <w:szCs w:val="28"/>
                <w:lang w:val="ru-RU"/>
              </w:rPr>
              <w:t>митента подконтрольной ему организации, имеющей для него существенное значение (далее – подконтрольная организация), а также о прекращении оснований контроля;</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6) о появлении лица, контролирующего эмитента, а также о прекращении оснований такого контроля;</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 xml:space="preserve">7) о принятии решения о реорганизации или ликвидации контролирующей или  подконтрольной организацией, либо </w:t>
            </w:r>
            <w:r w:rsidRPr="000160C5">
              <w:rPr>
                <w:rFonts w:cs="Times New Roman"/>
                <w:szCs w:val="28"/>
                <w:lang w:val="ru-RU"/>
              </w:rPr>
              <w:lastRenderedPageBreak/>
              <w:t>лицом, предоставившим обеспечение по облигациям этого эмитента;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8) о внесении в ЕГРЮЛ записей, связанных с реорганизацией, прекращением деятельности или с ликвидацией контролирующей или подконтрольной организации, либо лица, предоставившего обеспечение по облигациям этого эмитента;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9) о появлен</w:t>
            </w:r>
            <w:proofErr w:type="gramStart"/>
            <w:r w:rsidRPr="000160C5">
              <w:rPr>
                <w:rFonts w:cs="Times New Roman"/>
                <w:szCs w:val="28"/>
                <w:lang w:val="ru-RU"/>
              </w:rPr>
              <w:t>ии у э</w:t>
            </w:r>
            <w:proofErr w:type="gramEnd"/>
            <w:r w:rsidRPr="000160C5">
              <w:rPr>
                <w:rFonts w:cs="Times New Roman"/>
                <w:szCs w:val="28"/>
                <w:lang w:val="ru-RU"/>
              </w:rPr>
              <w:t>митента, контролирующей или подконтрольной организации, либо у лица, предоставившего обеспечение по облигациям этого эмитента, признаков несостоятельности (банкротства);</w:t>
            </w:r>
          </w:p>
          <w:p w:rsidR="00A30806" w:rsidRPr="000160C5" w:rsidRDefault="00A30806" w:rsidP="00915920">
            <w:pPr>
              <w:pStyle w:val="TNR14"/>
              <w:spacing w:line="240" w:lineRule="auto"/>
              <w:rPr>
                <w:rFonts w:cs="Times New Roman"/>
                <w:szCs w:val="28"/>
                <w:lang w:val="ru-RU"/>
              </w:rPr>
            </w:pPr>
            <w:proofErr w:type="gramStart"/>
            <w:r w:rsidRPr="000160C5">
              <w:rPr>
                <w:rFonts w:cs="Times New Roman"/>
                <w:szCs w:val="28"/>
                <w:lang w:val="ru-RU"/>
              </w:rPr>
              <w:t>10) о принятии арбитражным судом заявления о признании эмитента, контролирующей или подконтрольной организации,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roofErr w:type="gramEnd"/>
          </w:p>
          <w:p w:rsidR="00A30806" w:rsidRPr="000160C5" w:rsidRDefault="00A30806" w:rsidP="00915920">
            <w:pPr>
              <w:pStyle w:val="TNR14"/>
              <w:spacing w:line="240" w:lineRule="auto"/>
              <w:rPr>
                <w:rFonts w:cs="Times New Roman"/>
                <w:szCs w:val="28"/>
                <w:lang w:val="ru-RU"/>
              </w:rPr>
            </w:pPr>
            <w:proofErr w:type="gramStart"/>
            <w:r w:rsidRPr="000160C5">
              <w:rPr>
                <w:rFonts w:cs="Times New Roman"/>
                <w:szCs w:val="28"/>
                <w:lang w:val="ru-RU"/>
              </w:rPr>
              <w:t>11) о предъявлении эмитенту, контролирующей или подконтрольной организации, либо лицу, предоставившему обеспечение по облигациям эмитента, иска, размер требований по которому составляет 10 или более процентов балансовой стоимости активов указанных лиц на отчетную дату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roofErr w:type="gramEnd"/>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 xml:space="preserve">12) о дате, на которую </w:t>
            </w:r>
            <w:r w:rsidRPr="000160C5">
              <w:rPr>
                <w:rFonts w:cs="Times New Roman"/>
                <w:szCs w:val="28"/>
                <w:lang w:val="ru-RU"/>
              </w:rPr>
              <w:lastRenderedPageBreak/>
              <w:t>составляется список владельцев ценных бумаг эмитента;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13) об этапах процедуры эмиссии ценных бумаг;</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14) о приостановлении и возобновлении эмиссии;</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 xml:space="preserve">15) о признании выпуска (дополнительного выпуска) ценных бумаг </w:t>
            </w:r>
            <w:proofErr w:type="gramStart"/>
            <w:r w:rsidRPr="000160C5">
              <w:rPr>
                <w:rFonts w:cs="Times New Roman"/>
                <w:szCs w:val="28"/>
                <w:lang w:val="ru-RU"/>
              </w:rPr>
              <w:t>несостоявшимся</w:t>
            </w:r>
            <w:proofErr w:type="gramEnd"/>
            <w:r w:rsidRPr="000160C5">
              <w:rPr>
                <w:rFonts w:cs="Times New Roman"/>
                <w:szCs w:val="28"/>
                <w:lang w:val="ru-RU"/>
              </w:rPr>
              <w:t xml:space="preserve"> или недействительным;</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16) о погашении ценных бумаг эмитента;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17) о начисленных и (или) выплаченных доходах по ценным бумагам эмитента;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18) о заключении эмитентом договора с российским организатором торговли о включении эмиссионных ценных бумаг эмитента в список ценных бумаг, допущенных к организованным торгам российским организатором торговли, а также договора с российской биржей о включении эмиссионных ценных бумаг эмитента в котировальный список российской биржи;</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19) о включении и исключении ценных бумаг эмитента в указанные списки;</w:t>
            </w:r>
          </w:p>
          <w:p w:rsidR="00A30806" w:rsidRPr="000160C5" w:rsidRDefault="00A30806" w:rsidP="00915920">
            <w:pPr>
              <w:pStyle w:val="TNR14"/>
              <w:spacing w:line="240" w:lineRule="auto"/>
              <w:rPr>
                <w:rFonts w:cs="Times New Roman"/>
                <w:szCs w:val="28"/>
                <w:lang w:val="ru-RU"/>
              </w:rPr>
            </w:pPr>
            <w:proofErr w:type="gramStart"/>
            <w:r w:rsidRPr="000160C5">
              <w:rPr>
                <w:rFonts w:cs="Times New Roman"/>
                <w:szCs w:val="28"/>
                <w:lang w:val="ru-RU"/>
              </w:rPr>
              <w:t>20)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roofErr w:type="gramEnd"/>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lastRenderedPageBreak/>
              <w:t>21) о включении и исключении ценных бумаг в указанные списки;</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22) о заключении эмитентом договора о поддержании (стабилизации) цен на ценные бумаги, а также о прекращении такого договора;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23) о подаче эмитентом заявления на получение разрешения ФСФР на размещение и (или) организацию обращения его ценных бумаг за пределами Российской Федерации, а также о получении им указанного разрешения;</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24) о неисполнении обязательств эмитента перед владельцами его эмиссионных ценных бумаг;</w:t>
            </w:r>
          </w:p>
          <w:p w:rsidR="00A30806" w:rsidRPr="000160C5" w:rsidRDefault="00A30806" w:rsidP="00915920">
            <w:pPr>
              <w:pStyle w:val="TNR14"/>
              <w:spacing w:line="240" w:lineRule="auto"/>
              <w:rPr>
                <w:rFonts w:cs="Times New Roman"/>
                <w:szCs w:val="28"/>
                <w:lang w:val="ru-RU"/>
              </w:rPr>
            </w:pPr>
            <w:proofErr w:type="gramStart"/>
            <w:r w:rsidRPr="000160C5">
              <w:rPr>
                <w:rFonts w:cs="Times New Roman"/>
                <w:szCs w:val="28"/>
                <w:lang w:val="ru-RU"/>
              </w:rPr>
              <w:t>25) о приобретении лицом или прекращении у лица права прямо или косвенно (через подконтрольных ему лиц) самостоятельно или совместно с иными лицами, распоряжаться определенным количеством голосов, если указанное количество голосов составляет 5 процентов либо стало больше или меньше 5, 10, 15, 20, 25, 30, 50, 75 или 95 процентов общего количества голосов;</w:t>
            </w:r>
            <w:proofErr w:type="gramEnd"/>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26) о поступившем эмитенту добровольном, в том числе конкурирующем, или обязательном предложении, а также об изменениях, внесенных в указанные предложения;</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 xml:space="preserve">27) о поступившем эмитенту </w:t>
            </w:r>
            <w:proofErr w:type="gramStart"/>
            <w:r w:rsidRPr="000160C5">
              <w:rPr>
                <w:rFonts w:cs="Times New Roman"/>
                <w:szCs w:val="28"/>
                <w:lang w:val="ru-RU"/>
              </w:rPr>
              <w:t>уведомлении</w:t>
            </w:r>
            <w:proofErr w:type="gramEnd"/>
            <w:r w:rsidRPr="000160C5">
              <w:rPr>
                <w:rFonts w:cs="Times New Roman"/>
                <w:szCs w:val="28"/>
                <w:lang w:val="ru-RU"/>
              </w:rPr>
              <w:t xml:space="preserve"> о праве требовать выкупа эмиссионных ценных бумаг эмитента или требовании о выкупе эмиссионных ценных бумаг эмитента;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28) о раскрытии эмитентом ежеквартальных отчетов;</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 xml:space="preserve">29) о раскрытии эмитентом промежуточной (квартальной) или </w:t>
            </w:r>
            <w:r w:rsidRPr="000160C5">
              <w:rPr>
                <w:rFonts w:cs="Times New Roman"/>
                <w:szCs w:val="28"/>
                <w:lang w:val="ru-RU"/>
              </w:rPr>
              <w:lastRenderedPageBreak/>
              <w:t>годовой консолидированной финансовой отчетности, а также о представлен</w:t>
            </w:r>
            <w:proofErr w:type="gramStart"/>
            <w:r w:rsidRPr="000160C5">
              <w:rPr>
                <w:rFonts w:cs="Times New Roman"/>
                <w:szCs w:val="28"/>
                <w:lang w:val="ru-RU"/>
              </w:rPr>
              <w:t>ии ау</w:t>
            </w:r>
            <w:proofErr w:type="gramEnd"/>
            <w:r w:rsidRPr="000160C5">
              <w:rPr>
                <w:rFonts w:cs="Times New Roman"/>
                <w:szCs w:val="28"/>
                <w:lang w:val="ru-RU"/>
              </w:rPr>
              <w:t>диторского заключения, подготовленного в отношении такой отчетности;</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30) о выявлении ошибок в ранее раскрытой бухгалтерской (финансовой) отчетности эмитента;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31) о совершении эмитентом или лицом, предоставившим обеспечение по облигациям эмитента, сделки, размер которой составляет 10 или более процентов балансовой стоимости активов на конец отчетного периода;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32) о совершении контролирующей или подконтрольной организацией сделки, признаваемой в соответствии с законодательством Российской Федерации крупной сделкой;</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33) о совершении эмитентом сделки, в совершении которой имеется заинтересованность и необходимость одобрения которой предусмотрена законодательством Российской Федерации, если размер такой сделки превышает норматив, установленный нормативными правовыми актами ФСФР;</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34)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превышают норматив, установленный нормативными правовыми актами ФСФР;</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 xml:space="preserve">35) об изменении стоимости активов лица, предоставившего обеспечение по облигациям </w:t>
            </w:r>
            <w:r w:rsidRPr="000160C5">
              <w:rPr>
                <w:rFonts w:cs="Times New Roman"/>
                <w:szCs w:val="28"/>
                <w:lang w:val="ru-RU"/>
              </w:rPr>
              <w:lastRenderedPageBreak/>
              <w:t>эмитента, которое составляет 10 или более процентов, или об ином существенном, по мнению эмитента, изменении финансово-хозяйственного положения такого лица;</w:t>
            </w:r>
          </w:p>
          <w:p w:rsidR="00A30806" w:rsidRPr="000160C5" w:rsidRDefault="00A30806" w:rsidP="00915920">
            <w:pPr>
              <w:pStyle w:val="TNR14"/>
              <w:spacing w:line="240" w:lineRule="auto"/>
              <w:rPr>
                <w:rFonts w:cs="Times New Roman"/>
                <w:szCs w:val="28"/>
                <w:lang w:val="ru-RU"/>
              </w:rPr>
            </w:pPr>
            <w:proofErr w:type="gramStart"/>
            <w:r w:rsidRPr="000160C5">
              <w:rPr>
                <w:rFonts w:cs="Times New Roman"/>
                <w:szCs w:val="28"/>
                <w:lang w:val="ru-RU"/>
              </w:rPr>
              <w:t>36) о получении эмитентом или прекращении у эмитента права прямо или косвенно (через подконтрольных ему лиц)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торгам организатором торговли на рынке ценных бумаг или стоимость активов которой превышает норматив, установленный в актах ФСФР, если указанное количество</w:t>
            </w:r>
            <w:proofErr w:type="gramEnd"/>
            <w:r w:rsidRPr="000160C5">
              <w:rPr>
                <w:rFonts w:cs="Times New Roman"/>
                <w:szCs w:val="28"/>
                <w:lang w:val="ru-RU"/>
              </w:rPr>
              <w:t xml:space="preserve">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 xml:space="preserve">37) о заключении эмитентом, </w:t>
            </w:r>
            <w:proofErr w:type="gramStart"/>
            <w:r w:rsidRPr="000160C5">
              <w:rPr>
                <w:rFonts w:cs="Times New Roman"/>
                <w:szCs w:val="28"/>
                <w:lang w:val="ru-RU"/>
              </w:rPr>
              <w:t>контролирующий</w:t>
            </w:r>
            <w:proofErr w:type="gramEnd"/>
            <w:r w:rsidRPr="000160C5">
              <w:rPr>
                <w:rFonts w:cs="Times New Roman"/>
                <w:szCs w:val="28"/>
                <w:lang w:val="ru-RU"/>
              </w:rPr>
              <w:t xml:space="preserve"> или подконтрольной организацией договора, предусматривающего обязанность приобретать эмиссионные ценные бумаги указанного эмитента;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 xml:space="preserve">38)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w:t>
            </w:r>
            <w:r w:rsidRPr="000160C5">
              <w:rPr>
                <w:rFonts w:cs="Times New Roman"/>
                <w:szCs w:val="28"/>
                <w:lang w:val="ru-RU"/>
              </w:rPr>
              <w:lastRenderedPageBreak/>
              <w:t>деятельности, имеющей для указанного эмитента существенное финансово-хозяйственное значение;</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39) об истечении срока полномочий единоличного исполнительного органа и (или) членов коллегиального исполнительного органа эмитента;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40) об изменении размера доли участия в уставном (складочном) капитале эмитента и подконтрольных организаций их должностных лиц;</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41)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42)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43)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A30806" w:rsidRPr="000160C5" w:rsidRDefault="00A30806" w:rsidP="00915920">
            <w:pPr>
              <w:pStyle w:val="TNR14"/>
              <w:spacing w:line="240" w:lineRule="auto"/>
              <w:rPr>
                <w:rFonts w:cs="Times New Roman"/>
                <w:szCs w:val="28"/>
                <w:lang w:val="ru-RU"/>
              </w:rPr>
            </w:pPr>
            <w:proofErr w:type="gramStart"/>
            <w:r w:rsidRPr="000160C5">
              <w:rPr>
                <w:rFonts w:cs="Times New Roman"/>
                <w:szCs w:val="28"/>
                <w:lang w:val="ru-RU"/>
              </w:rPr>
              <w:t xml:space="preserve">44) о корпоративных спорах эмитента, в том числе о возбуждении арбитражным судом производства по делу и принятии заявления (искового заявления) к производству, об изменении основания или предмета ранее заявленного иска, о принятии обеспечительных мер, об отказе от иска, о признании иска, о заключении </w:t>
            </w:r>
            <w:r w:rsidRPr="000160C5">
              <w:rPr>
                <w:rFonts w:cs="Times New Roman"/>
                <w:szCs w:val="28"/>
                <w:lang w:val="ru-RU"/>
              </w:rPr>
              <w:lastRenderedPageBreak/>
              <w:t>мирового соглашения, о принятии судебного акта, которым заканчивается рассмотрение дела в арбитражном суде первой инстанции;</w:t>
            </w:r>
            <w:proofErr w:type="gramEnd"/>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45)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46)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 xml:space="preserve">47) о решении </w:t>
            </w:r>
            <w:proofErr w:type="gramStart"/>
            <w:r w:rsidRPr="000160C5">
              <w:rPr>
                <w:rFonts w:cs="Times New Roman"/>
                <w:szCs w:val="28"/>
                <w:lang w:val="ru-RU"/>
              </w:rPr>
              <w:t>ФСФР</w:t>
            </w:r>
            <w:proofErr w:type="gramEnd"/>
            <w:r w:rsidRPr="000160C5">
              <w:rPr>
                <w:rFonts w:cs="Times New Roman"/>
                <w:szCs w:val="28"/>
                <w:lang w:val="ru-RU"/>
              </w:rPr>
              <w:t xml:space="preserve"> об освобождении эмитента от обязанности осуществлять раскрытие информации;</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48)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в том числе организациями, входящими в группу организаций, определяемую в соответствии с законодательством Российской Федерации в целях составления консолидированной финансовой отчетности эмитента;</w:t>
            </w:r>
          </w:p>
          <w:p w:rsidR="00A30806" w:rsidRPr="000160C5" w:rsidRDefault="00A30806" w:rsidP="00915920">
            <w:pPr>
              <w:pStyle w:val="TNR14"/>
              <w:spacing w:line="240" w:lineRule="auto"/>
              <w:rPr>
                <w:rFonts w:cs="Times New Roman"/>
                <w:szCs w:val="28"/>
                <w:lang w:val="ru-RU"/>
              </w:rPr>
            </w:pPr>
            <w:proofErr w:type="gramStart"/>
            <w:r w:rsidRPr="000160C5">
              <w:rPr>
                <w:rFonts w:cs="Times New Roman"/>
                <w:szCs w:val="28"/>
                <w:lang w:val="ru-RU"/>
              </w:rPr>
              <w:t xml:space="preserve">49) сведения, направляемые или предоставляемые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w:t>
            </w:r>
            <w:r w:rsidRPr="000160C5">
              <w:rPr>
                <w:rFonts w:cs="Times New Roman"/>
                <w:szCs w:val="28"/>
                <w:lang w:val="ru-RU"/>
              </w:rPr>
              <w:lastRenderedPageBreak/>
              <w:t>эмиссионных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w:t>
            </w:r>
            <w:proofErr w:type="gramEnd"/>
            <w:r w:rsidRPr="000160C5">
              <w:rPr>
                <w:rFonts w:cs="Times New Roman"/>
                <w:szCs w:val="28"/>
                <w:lang w:val="ru-RU"/>
              </w:rPr>
              <w:t xml:space="preserve"> эмитента;</w:t>
            </w:r>
          </w:p>
          <w:p w:rsidR="00A30806" w:rsidRPr="000160C5" w:rsidRDefault="00A30806" w:rsidP="00915920">
            <w:pPr>
              <w:pStyle w:val="TNR14"/>
              <w:spacing w:line="240" w:lineRule="auto"/>
              <w:rPr>
                <w:rFonts w:cs="Times New Roman"/>
                <w:szCs w:val="28"/>
                <w:lang w:val="ru-RU"/>
              </w:rPr>
            </w:pPr>
            <w:r w:rsidRPr="000160C5">
              <w:rPr>
                <w:rFonts w:cs="Times New Roman"/>
                <w:szCs w:val="28"/>
                <w:lang w:val="ru-RU"/>
              </w:rPr>
              <w:t>(в ред. Федерального закона от 21.11.2011 N 327-ФЗ)</w:t>
            </w:r>
          </w:p>
          <w:p w:rsidR="00A30806" w:rsidRPr="000160C5" w:rsidRDefault="00A30806" w:rsidP="00101FF9">
            <w:pPr>
              <w:pStyle w:val="TNR14"/>
              <w:spacing w:line="240" w:lineRule="auto"/>
              <w:rPr>
                <w:rFonts w:cs="Times New Roman"/>
                <w:szCs w:val="28"/>
                <w:lang w:val="ru-RU"/>
              </w:rPr>
            </w:pPr>
            <w:r w:rsidRPr="000160C5">
              <w:rPr>
                <w:rFonts w:cs="Times New Roman"/>
                <w:szCs w:val="28"/>
                <w:lang w:val="ru-RU"/>
              </w:rPr>
              <w:t>50) сведения, оказывающие, по мнению эмитента, существенное влияние на стоимость его эмиссионных ценных бумаг.</w:t>
            </w:r>
          </w:p>
        </w:tc>
        <w:tc>
          <w:tcPr>
            <w:tcW w:w="4786" w:type="dxa"/>
          </w:tcPr>
          <w:p w:rsidR="00A30806" w:rsidRPr="000160C5" w:rsidRDefault="00A30806" w:rsidP="00A30806">
            <w:pPr>
              <w:pStyle w:val="TNR14"/>
              <w:numPr>
                <w:ilvl w:val="0"/>
                <w:numId w:val="15"/>
              </w:numPr>
              <w:spacing w:line="240" w:lineRule="auto"/>
              <w:rPr>
                <w:rFonts w:cs="Times New Roman"/>
                <w:szCs w:val="28"/>
                <w:lang w:val="ru-RU"/>
              </w:rPr>
            </w:pPr>
            <w:r w:rsidRPr="000160C5">
              <w:rPr>
                <w:rFonts w:cs="Times New Roman"/>
                <w:szCs w:val="28"/>
                <w:lang w:val="ru-RU"/>
              </w:rPr>
              <w:lastRenderedPageBreak/>
              <w:t>Хозяйственная деятельность и сделки эмитента</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Заключение эмитентом соглашений, по которому он приобретает существенные для него права или обязанности (далее – Существенное соглашение)</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Расторжение и (или) прекращение Существенного соглашения</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Процедура банкротства или управления спорным имуществом должника</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Информация о получении предписаний от Управления США по охране труда на горнодобывающих предприятиях (для эмитентов – горнодобывающих предприятий)</w:t>
            </w:r>
          </w:p>
          <w:p w:rsidR="00A30806" w:rsidRPr="000160C5" w:rsidRDefault="00A30806" w:rsidP="00A30806">
            <w:pPr>
              <w:pStyle w:val="TNR14"/>
              <w:numPr>
                <w:ilvl w:val="0"/>
                <w:numId w:val="15"/>
              </w:numPr>
              <w:spacing w:line="240" w:lineRule="auto"/>
              <w:rPr>
                <w:rFonts w:cs="Times New Roman"/>
                <w:szCs w:val="28"/>
                <w:lang w:val="ru-RU"/>
              </w:rPr>
            </w:pPr>
            <w:r w:rsidRPr="000160C5">
              <w:rPr>
                <w:rFonts w:cs="Times New Roman"/>
                <w:szCs w:val="28"/>
                <w:lang w:val="ru-RU"/>
              </w:rPr>
              <w:t>Финансовая информация</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Завершение приобретения или реализации активов</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 xml:space="preserve"> Результаты деятельности и финансовое положение эмитента </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 xml:space="preserve">Взятие эмитентом на себя прямых финансовых обязательств (долгосрочный и оперативный лизинг, долгосрочные долговые обязательства и текущие краткосрочные долговые обязательства) и внебалансовых условных </w:t>
            </w:r>
            <w:r w:rsidRPr="000160C5">
              <w:rPr>
                <w:rFonts w:cs="Times New Roman"/>
                <w:szCs w:val="28"/>
                <w:lang w:val="ru-RU"/>
              </w:rPr>
              <w:lastRenderedPageBreak/>
              <w:t>(пассивных) обязательств</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События, ведущие к сокращению срока или увеличению размера прямых финансовых или внебалансовых обязательств эмитента</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Расходы, понесенные эмитентом в связи с реализацией активов или увольнением сотрудников</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Существенные расходы на создание резерва под обесценивание активов (от акций до деловой репутации)</w:t>
            </w:r>
          </w:p>
          <w:p w:rsidR="00A30806" w:rsidRPr="000160C5" w:rsidRDefault="00A30806" w:rsidP="00A30806">
            <w:pPr>
              <w:pStyle w:val="TNR14"/>
              <w:numPr>
                <w:ilvl w:val="0"/>
                <w:numId w:val="15"/>
              </w:numPr>
              <w:spacing w:line="240" w:lineRule="auto"/>
              <w:rPr>
                <w:rFonts w:cs="Times New Roman"/>
                <w:szCs w:val="28"/>
                <w:lang w:val="ru-RU"/>
              </w:rPr>
            </w:pPr>
            <w:r w:rsidRPr="000160C5">
              <w:rPr>
                <w:rFonts w:cs="Times New Roman"/>
                <w:szCs w:val="28"/>
                <w:lang w:val="ru-RU"/>
              </w:rPr>
              <w:t>Ценные бумаги и вторичный рынок</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 xml:space="preserve">Уведомление о </w:t>
            </w:r>
            <w:proofErr w:type="spellStart"/>
            <w:r w:rsidRPr="000160C5">
              <w:rPr>
                <w:rFonts w:cs="Times New Roman"/>
                <w:szCs w:val="28"/>
                <w:lang w:val="ru-RU"/>
              </w:rPr>
              <w:t>делистинге</w:t>
            </w:r>
            <w:proofErr w:type="spellEnd"/>
            <w:r w:rsidRPr="000160C5">
              <w:rPr>
                <w:rFonts w:cs="Times New Roman"/>
                <w:szCs w:val="28"/>
                <w:lang w:val="ru-RU"/>
              </w:rPr>
              <w:t xml:space="preserve"> ценных бумаг или несоответствии эмитента требованиям и стандартам фондовой биржи </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Сделки по продаже ценных бумаг эмитента, которые не подлежат регистрации в Комиссии США</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Существенные изменения в объеме прав акционеров</w:t>
            </w:r>
          </w:p>
          <w:p w:rsidR="00A30806" w:rsidRPr="000160C5" w:rsidRDefault="00A30806" w:rsidP="00A30806">
            <w:pPr>
              <w:pStyle w:val="TNR14"/>
              <w:numPr>
                <w:ilvl w:val="0"/>
                <w:numId w:val="15"/>
              </w:numPr>
              <w:spacing w:line="240" w:lineRule="auto"/>
              <w:rPr>
                <w:rFonts w:cs="Times New Roman"/>
                <w:szCs w:val="28"/>
                <w:lang w:val="ru-RU"/>
              </w:rPr>
            </w:pPr>
            <w:r w:rsidRPr="000160C5">
              <w:rPr>
                <w:rFonts w:cs="Times New Roman"/>
                <w:szCs w:val="28"/>
                <w:lang w:val="ru-RU"/>
              </w:rPr>
              <w:t xml:space="preserve"> Вопросы, касающиеся бухгалтерских и финансовых отчетов</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Замена главного бухгалтера, проводившего аудит отчетности эмитента</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Сообщение о недействительности ранее опубликованных финансовых отчетов или относящихся к ним аудиторских отчетов в связи с обнаруженными ошибками</w:t>
            </w:r>
          </w:p>
          <w:p w:rsidR="00A30806" w:rsidRPr="000160C5" w:rsidRDefault="00A30806" w:rsidP="00A30806">
            <w:pPr>
              <w:pStyle w:val="TNR14"/>
              <w:numPr>
                <w:ilvl w:val="0"/>
                <w:numId w:val="15"/>
              </w:numPr>
              <w:spacing w:line="240" w:lineRule="auto"/>
              <w:rPr>
                <w:rFonts w:cs="Times New Roman"/>
                <w:szCs w:val="28"/>
                <w:lang w:val="ru-RU"/>
              </w:rPr>
            </w:pPr>
            <w:r w:rsidRPr="000160C5">
              <w:rPr>
                <w:rFonts w:cs="Times New Roman"/>
                <w:szCs w:val="28"/>
                <w:lang w:val="ru-RU"/>
              </w:rPr>
              <w:t xml:space="preserve">Корпоративное управление </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 xml:space="preserve">Смена контроля </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 xml:space="preserve">Отставка директоров или иных </w:t>
            </w:r>
            <w:r w:rsidRPr="000160C5">
              <w:rPr>
                <w:rFonts w:cs="Times New Roman"/>
                <w:szCs w:val="28"/>
                <w:lang w:val="ru-RU"/>
              </w:rPr>
              <w:lastRenderedPageBreak/>
              <w:t xml:space="preserve">должностных лиц, избрание (назначение) директоров (должностных лиц), заключение компенсационных соглашений с должностными лицами </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Внесение изменений в учредительные и внутренние документы эмитента, изменение порядка определения финансового года</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 xml:space="preserve"> Информация о временной приостановке продажи ценных бумаг в соответствии с корпоративной социальной программой</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Внесение изменений в корпоративный кодекс этики или отказ от принятия кодекса этики</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Изменение статуса холдинговой компании, не имеющей активов</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Вопросы на повестку дня собрания держателей ценных бумаг</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Информация для акционеров, участвующих в назначении директоров</w:t>
            </w:r>
          </w:p>
          <w:p w:rsidR="00A30806" w:rsidRPr="000160C5" w:rsidRDefault="00A30806" w:rsidP="00A30806">
            <w:pPr>
              <w:pStyle w:val="TNR14"/>
              <w:numPr>
                <w:ilvl w:val="0"/>
                <w:numId w:val="15"/>
              </w:numPr>
              <w:spacing w:line="240" w:lineRule="auto"/>
              <w:rPr>
                <w:rFonts w:cs="Times New Roman"/>
                <w:szCs w:val="28"/>
                <w:lang w:val="ru-RU"/>
              </w:rPr>
            </w:pPr>
            <w:r w:rsidRPr="000160C5">
              <w:rPr>
                <w:rFonts w:cs="Times New Roman"/>
                <w:szCs w:val="28"/>
                <w:lang w:val="ru-RU"/>
              </w:rPr>
              <w:t>Ценные бумаги, обеспеченные активами</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Информационные и вычислительные материалы</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Информация о смене агента по обслуживанию или доверительного управляющего</w:t>
            </w:r>
          </w:p>
          <w:p w:rsidR="00A30806" w:rsidRPr="000160C5" w:rsidRDefault="00A30806" w:rsidP="00A30806">
            <w:pPr>
              <w:pStyle w:val="TNR14"/>
              <w:numPr>
                <w:ilvl w:val="1"/>
                <w:numId w:val="15"/>
              </w:numPr>
              <w:spacing w:line="240" w:lineRule="auto"/>
              <w:rPr>
                <w:rFonts w:cs="Times New Roman"/>
                <w:szCs w:val="28"/>
              </w:rPr>
            </w:pPr>
            <w:r w:rsidRPr="000160C5">
              <w:rPr>
                <w:rFonts w:cs="Times New Roman"/>
                <w:szCs w:val="28"/>
                <w:lang w:val="ru-RU"/>
              </w:rPr>
              <w:t xml:space="preserve">Изменения в предоставлении внешних обеспечений </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Неисполнение обязанности эмитента по распределению обеспеченных активами ценных бумаг среди акционеров, если такое распределение требовалось</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lastRenderedPageBreak/>
              <w:t>Обновление информации, содержащейся в проспекте, зарегистрированном в  связи с размещением обеспеченных активами ценных бумаг</w:t>
            </w:r>
          </w:p>
          <w:p w:rsidR="00A30806" w:rsidRPr="000160C5" w:rsidRDefault="00A30806" w:rsidP="00A30806">
            <w:pPr>
              <w:pStyle w:val="TNR14"/>
              <w:numPr>
                <w:ilvl w:val="0"/>
                <w:numId w:val="15"/>
              </w:numPr>
              <w:spacing w:line="240" w:lineRule="auto"/>
              <w:rPr>
                <w:rFonts w:cs="Times New Roman"/>
                <w:szCs w:val="28"/>
                <w:lang w:val="ru-RU"/>
              </w:rPr>
            </w:pPr>
            <w:r w:rsidRPr="000160C5">
              <w:rPr>
                <w:rFonts w:cs="Times New Roman"/>
                <w:szCs w:val="28"/>
                <w:lang w:val="ru-RU"/>
              </w:rPr>
              <w:t xml:space="preserve">Положение </w:t>
            </w:r>
            <w:r w:rsidRPr="000160C5">
              <w:rPr>
                <w:rFonts w:cs="Times New Roman"/>
                <w:szCs w:val="28"/>
              </w:rPr>
              <w:t>FD</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Раскрытие эмитентом выборочной непубличной информации</w:t>
            </w:r>
          </w:p>
          <w:p w:rsidR="00A30806" w:rsidRPr="000160C5" w:rsidRDefault="00A30806" w:rsidP="00A30806">
            <w:pPr>
              <w:pStyle w:val="TNR14"/>
              <w:numPr>
                <w:ilvl w:val="0"/>
                <w:numId w:val="15"/>
              </w:numPr>
              <w:spacing w:line="240" w:lineRule="auto"/>
              <w:rPr>
                <w:rFonts w:cs="Times New Roman"/>
                <w:szCs w:val="28"/>
                <w:lang w:val="ru-RU"/>
              </w:rPr>
            </w:pPr>
            <w:r w:rsidRPr="000160C5">
              <w:rPr>
                <w:rFonts w:cs="Times New Roman"/>
                <w:szCs w:val="28"/>
                <w:lang w:val="ru-RU"/>
              </w:rPr>
              <w:tab/>
              <w:t>Прочие события</w:t>
            </w:r>
          </w:p>
          <w:p w:rsidR="00A30806" w:rsidRPr="000160C5" w:rsidRDefault="00A30806" w:rsidP="00A30806">
            <w:pPr>
              <w:pStyle w:val="TNR14"/>
              <w:numPr>
                <w:ilvl w:val="1"/>
                <w:numId w:val="15"/>
              </w:numPr>
              <w:spacing w:line="240" w:lineRule="auto"/>
              <w:rPr>
                <w:rFonts w:cs="Times New Roman"/>
                <w:szCs w:val="28"/>
                <w:lang w:val="ru-RU"/>
              </w:rPr>
            </w:pPr>
            <w:r w:rsidRPr="000160C5">
              <w:rPr>
                <w:rFonts w:cs="Times New Roman"/>
                <w:szCs w:val="28"/>
                <w:lang w:val="ru-RU"/>
              </w:rPr>
              <w:t>Раскрытие иных существенных для акционеров сведений по выбору эмитента</w:t>
            </w:r>
          </w:p>
          <w:p w:rsidR="00A30806" w:rsidRPr="000160C5" w:rsidRDefault="00A30806" w:rsidP="00A30806">
            <w:pPr>
              <w:pStyle w:val="TNR14"/>
              <w:numPr>
                <w:ilvl w:val="0"/>
                <w:numId w:val="15"/>
              </w:numPr>
              <w:spacing w:line="240" w:lineRule="auto"/>
              <w:rPr>
                <w:rFonts w:cs="Times New Roman"/>
                <w:szCs w:val="28"/>
                <w:lang w:val="ru-RU"/>
              </w:rPr>
            </w:pPr>
            <w:r w:rsidRPr="000160C5">
              <w:rPr>
                <w:rFonts w:cs="Times New Roman"/>
                <w:szCs w:val="28"/>
                <w:lang w:val="ru-RU"/>
              </w:rPr>
              <w:t>Финансовые отчеты и приложения</w:t>
            </w:r>
          </w:p>
        </w:tc>
      </w:tr>
    </w:tbl>
    <w:p w:rsidR="000160C5" w:rsidRPr="000160C5" w:rsidRDefault="000160C5" w:rsidP="00101FF9">
      <w:pPr>
        <w:pStyle w:val="1"/>
        <w:keepLines w:val="0"/>
        <w:widowControl w:val="0"/>
        <w:rPr>
          <w:rFonts w:cs="Times New Roman"/>
        </w:rPr>
      </w:pPr>
      <w:bookmarkStart w:id="38" w:name="_Приложение_6."/>
      <w:bookmarkEnd w:id="38"/>
    </w:p>
    <w:p w:rsidR="000160C5" w:rsidRPr="000160C5" w:rsidRDefault="000160C5">
      <w:pPr>
        <w:rPr>
          <w:rFonts w:ascii="Times New Roman" w:eastAsiaTheme="majorEastAsia" w:hAnsi="Times New Roman" w:cs="Times New Roman"/>
          <w:b/>
          <w:bCs/>
          <w:caps/>
          <w:sz w:val="28"/>
          <w:szCs w:val="28"/>
        </w:rPr>
      </w:pPr>
      <w:r w:rsidRPr="000160C5">
        <w:rPr>
          <w:rFonts w:ascii="Times New Roman" w:hAnsi="Times New Roman" w:cs="Times New Roman"/>
        </w:rPr>
        <w:br w:type="page"/>
      </w:r>
    </w:p>
    <w:p w:rsidR="00101FF9" w:rsidRPr="000160C5" w:rsidRDefault="00B35E64" w:rsidP="00101FF9">
      <w:pPr>
        <w:pStyle w:val="1"/>
        <w:keepLines w:val="0"/>
        <w:widowControl w:val="0"/>
        <w:rPr>
          <w:rFonts w:cs="Times New Roman"/>
        </w:rPr>
      </w:pPr>
      <w:bookmarkStart w:id="39" w:name="_Приложение_4."/>
      <w:bookmarkStart w:id="40" w:name="_Toc356162071"/>
      <w:bookmarkEnd w:id="39"/>
      <w:r>
        <w:rPr>
          <w:rFonts w:cs="Times New Roman"/>
        </w:rPr>
        <w:lastRenderedPageBreak/>
        <w:t>Приложение 4</w:t>
      </w:r>
      <w:r w:rsidR="00101FF9" w:rsidRPr="000160C5">
        <w:rPr>
          <w:rFonts w:cs="Times New Roman"/>
        </w:rPr>
        <w:t>.</w:t>
      </w:r>
      <w:bookmarkEnd w:id="40"/>
      <w:r w:rsidR="00101FF9" w:rsidRPr="000160C5">
        <w:rPr>
          <w:rFonts w:cs="Times New Roman"/>
        </w:rPr>
        <w:t xml:space="preserve"> </w:t>
      </w:r>
    </w:p>
    <w:p w:rsidR="00101FF9" w:rsidRPr="000160C5" w:rsidRDefault="00101FF9" w:rsidP="000160C5">
      <w:pPr>
        <w:pStyle w:val="2"/>
        <w:rPr>
          <w:rFonts w:cs="Times New Roman"/>
        </w:rPr>
      </w:pPr>
      <w:bookmarkStart w:id="41" w:name="_Toc356162072"/>
      <w:r w:rsidRPr="000160C5">
        <w:rPr>
          <w:rFonts w:cs="Times New Roman"/>
        </w:rPr>
        <w:t>А) Пример сообщения о существенном факте</w:t>
      </w:r>
      <w:bookmarkEnd w:id="41"/>
      <w:r w:rsidRPr="000160C5">
        <w:rPr>
          <w:rFonts w:cs="Times New Roman"/>
        </w:rPr>
        <w:t xml:space="preserve"> </w:t>
      </w:r>
    </w:p>
    <w:p w:rsidR="00101FF9" w:rsidRPr="000160C5" w:rsidRDefault="00101FF9" w:rsidP="00101FF9">
      <w:pPr>
        <w:rPr>
          <w:rFonts w:ascii="Times New Roman" w:hAnsi="Times New Roman" w:cs="Times New Roman"/>
          <w:sz w:val="28"/>
          <w:szCs w:val="28"/>
        </w:rPr>
      </w:pPr>
      <w:r w:rsidRPr="000160C5">
        <w:rPr>
          <w:rFonts w:ascii="Times New Roman" w:hAnsi="Times New Roman" w:cs="Times New Roman"/>
          <w:noProof/>
          <w:sz w:val="28"/>
          <w:szCs w:val="28"/>
          <w:lang w:eastAsia="ru-RU"/>
        </w:rPr>
        <w:drawing>
          <wp:inline distT="0" distB="0" distL="0" distR="0">
            <wp:extent cx="5940425" cy="4297680"/>
            <wp:effectExtent l="0" t="0" r="317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0425" cy="4297680"/>
                    </a:xfrm>
                    <a:prstGeom prst="rect">
                      <a:avLst/>
                    </a:prstGeom>
                  </pic:spPr>
                </pic:pic>
              </a:graphicData>
            </a:graphic>
          </wp:inline>
        </w:drawing>
      </w:r>
    </w:p>
    <w:p w:rsidR="00101FF9" w:rsidRPr="000160C5" w:rsidRDefault="00101FF9" w:rsidP="00101FF9">
      <w:pPr>
        <w:rPr>
          <w:rFonts w:ascii="Times New Roman" w:hAnsi="Times New Roman" w:cs="Times New Roman"/>
          <w:sz w:val="28"/>
          <w:szCs w:val="28"/>
        </w:rPr>
      </w:pPr>
      <w:r w:rsidRPr="000160C5">
        <w:rPr>
          <w:rFonts w:ascii="Times New Roman" w:hAnsi="Times New Roman" w:cs="Times New Roman"/>
          <w:sz w:val="28"/>
          <w:szCs w:val="28"/>
        </w:rPr>
        <w:br w:type="page"/>
      </w:r>
    </w:p>
    <w:p w:rsidR="00101FF9" w:rsidRPr="000160C5" w:rsidRDefault="00101FF9" w:rsidP="000160C5">
      <w:pPr>
        <w:pStyle w:val="2"/>
        <w:rPr>
          <w:rFonts w:cs="Times New Roman"/>
        </w:rPr>
      </w:pPr>
      <w:bookmarkStart w:id="42" w:name="_Toc356162073"/>
      <w:r w:rsidRPr="000160C5">
        <w:rPr>
          <w:rFonts w:cs="Times New Roman"/>
        </w:rPr>
        <w:lastRenderedPageBreak/>
        <w:t>Б) Пример текущего отчета эмитента</w:t>
      </w:r>
      <w:bookmarkEnd w:id="42"/>
      <w:r w:rsidRPr="000160C5">
        <w:rPr>
          <w:rFonts w:cs="Times New Roman"/>
        </w:rPr>
        <w:t xml:space="preserve"> </w:t>
      </w:r>
    </w:p>
    <w:p w:rsidR="00101FF9" w:rsidRPr="000160C5" w:rsidRDefault="00101FF9" w:rsidP="00101FF9">
      <w:pPr>
        <w:rPr>
          <w:rFonts w:ascii="Times New Roman" w:hAnsi="Times New Roman" w:cs="Times New Roman"/>
          <w:sz w:val="28"/>
          <w:szCs w:val="28"/>
        </w:rPr>
      </w:pPr>
    </w:p>
    <w:p w:rsidR="00101FF9" w:rsidRPr="000160C5" w:rsidRDefault="00101FF9" w:rsidP="00101FF9">
      <w:pPr>
        <w:spacing w:after="0"/>
        <w:rPr>
          <w:rFonts w:ascii="Times New Roman" w:hAnsi="Times New Roman" w:cs="Times New Roman"/>
          <w:sz w:val="28"/>
          <w:szCs w:val="28"/>
        </w:rPr>
      </w:pPr>
      <w:r w:rsidRPr="000160C5">
        <w:rPr>
          <w:rFonts w:ascii="Times New Roman" w:hAnsi="Times New Roman" w:cs="Times New Roman"/>
          <w:noProof/>
          <w:sz w:val="28"/>
          <w:szCs w:val="28"/>
          <w:lang w:eastAsia="ru-RU"/>
        </w:rPr>
        <w:drawing>
          <wp:inline distT="0" distB="0" distL="0" distR="0">
            <wp:extent cx="5940425" cy="270626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0425" cy="2706269"/>
                    </a:xfrm>
                    <a:prstGeom prst="rect">
                      <a:avLst/>
                    </a:prstGeom>
                  </pic:spPr>
                </pic:pic>
              </a:graphicData>
            </a:graphic>
          </wp:inline>
        </w:drawing>
      </w:r>
    </w:p>
    <w:p w:rsidR="00101FF9" w:rsidRPr="000160C5" w:rsidRDefault="00101FF9" w:rsidP="00101FF9">
      <w:pPr>
        <w:spacing w:after="0"/>
        <w:rPr>
          <w:rFonts w:ascii="Times New Roman" w:hAnsi="Times New Roman" w:cs="Times New Roman"/>
          <w:sz w:val="28"/>
          <w:szCs w:val="28"/>
        </w:rPr>
      </w:pPr>
      <w:r w:rsidRPr="000160C5">
        <w:rPr>
          <w:rFonts w:ascii="Times New Roman" w:hAnsi="Times New Roman" w:cs="Times New Roman"/>
          <w:noProof/>
          <w:sz w:val="28"/>
          <w:szCs w:val="28"/>
          <w:lang w:eastAsia="ru-RU"/>
        </w:rPr>
        <w:drawing>
          <wp:inline distT="0" distB="0" distL="0" distR="0">
            <wp:extent cx="5940425" cy="247941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0425" cy="2479418"/>
                    </a:xfrm>
                    <a:prstGeom prst="rect">
                      <a:avLst/>
                    </a:prstGeom>
                  </pic:spPr>
                </pic:pic>
              </a:graphicData>
            </a:graphic>
          </wp:inline>
        </w:drawing>
      </w:r>
    </w:p>
    <w:p w:rsidR="00101FF9" w:rsidRPr="000160C5" w:rsidRDefault="00101FF9" w:rsidP="00101FF9">
      <w:pPr>
        <w:spacing w:after="0"/>
        <w:rPr>
          <w:rFonts w:ascii="Times New Roman" w:hAnsi="Times New Roman" w:cs="Times New Roman"/>
          <w:sz w:val="28"/>
          <w:szCs w:val="28"/>
        </w:rPr>
      </w:pPr>
      <w:r w:rsidRPr="000160C5">
        <w:rPr>
          <w:rFonts w:ascii="Times New Roman" w:hAnsi="Times New Roman" w:cs="Times New Roman"/>
          <w:noProof/>
          <w:sz w:val="28"/>
          <w:szCs w:val="28"/>
          <w:lang w:eastAsia="ru-RU"/>
        </w:rPr>
        <w:drawing>
          <wp:inline distT="0" distB="0" distL="0" distR="0">
            <wp:extent cx="5940425" cy="550573"/>
            <wp:effectExtent l="0" t="0" r="317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0425" cy="550573"/>
                    </a:xfrm>
                    <a:prstGeom prst="rect">
                      <a:avLst/>
                    </a:prstGeom>
                  </pic:spPr>
                </pic:pic>
              </a:graphicData>
            </a:graphic>
          </wp:inline>
        </w:drawing>
      </w:r>
    </w:p>
    <w:p w:rsidR="000961EB" w:rsidRPr="000160C5" w:rsidRDefault="00101FF9" w:rsidP="00B35E64">
      <w:pPr>
        <w:rPr>
          <w:rFonts w:cs="Times New Roman"/>
        </w:rPr>
      </w:pPr>
      <w:r w:rsidRPr="000160C5">
        <w:rPr>
          <w:rFonts w:ascii="Times New Roman" w:hAnsi="Times New Roman" w:cs="Times New Roman"/>
          <w:sz w:val="28"/>
          <w:szCs w:val="28"/>
        </w:rPr>
        <w:br w:type="page"/>
      </w:r>
    </w:p>
    <w:sectPr w:rsidR="000961EB" w:rsidRPr="000160C5" w:rsidSect="003717A0">
      <w:footerReference w:type="default" r:id="rId12"/>
      <w:pgSz w:w="11906" w:h="16838" w:code="9"/>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7D8" w:rsidRDefault="00B667D8" w:rsidP="00D851F4">
      <w:pPr>
        <w:spacing w:after="0" w:line="240" w:lineRule="auto"/>
      </w:pPr>
      <w:r>
        <w:separator/>
      </w:r>
    </w:p>
  </w:endnote>
  <w:endnote w:type="continuationSeparator" w:id="0">
    <w:p w:rsidR="00B667D8" w:rsidRDefault="00B667D8" w:rsidP="00D85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119754"/>
      <w:docPartObj>
        <w:docPartGallery w:val="Page Numbers (Bottom of Page)"/>
        <w:docPartUnique/>
      </w:docPartObj>
    </w:sdtPr>
    <w:sdtContent>
      <w:p w:rsidR="00B35E64" w:rsidRDefault="001B3246">
        <w:pPr>
          <w:pStyle w:val="af8"/>
          <w:jc w:val="right"/>
        </w:pPr>
        <w:r>
          <w:fldChar w:fldCharType="begin"/>
        </w:r>
        <w:r w:rsidR="00B35E64">
          <w:instrText>PAGE   \* MERGEFORMAT</w:instrText>
        </w:r>
        <w:r>
          <w:fldChar w:fldCharType="separate"/>
        </w:r>
        <w:r w:rsidR="00E73E92">
          <w:rPr>
            <w:noProof/>
          </w:rPr>
          <w:t>2</w:t>
        </w:r>
        <w:r>
          <w:fldChar w:fldCharType="end"/>
        </w:r>
      </w:p>
    </w:sdtContent>
  </w:sdt>
  <w:p w:rsidR="00B35E64" w:rsidRDefault="00B35E64">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7D8" w:rsidRDefault="00B667D8" w:rsidP="00D851F4">
      <w:pPr>
        <w:spacing w:after="0" w:line="240" w:lineRule="auto"/>
      </w:pPr>
      <w:r>
        <w:separator/>
      </w:r>
    </w:p>
  </w:footnote>
  <w:footnote w:type="continuationSeparator" w:id="0">
    <w:p w:rsidR="00B667D8" w:rsidRDefault="00B667D8" w:rsidP="00D851F4">
      <w:pPr>
        <w:spacing w:after="0" w:line="240" w:lineRule="auto"/>
      </w:pPr>
      <w:r>
        <w:continuationSeparator/>
      </w:r>
    </w:p>
  </w:footnote>
  <w:footnote w:id="1">
    <w:p w:rsidR="00E24259" w:rsidRPr="00764E58" w:rsidRDefault="00E24259" w:rsidP="00BE205F">
      <w:pPr>
        <w:pStyle w:val="a7"/>
        <w:jc w:val="both"/>
        <w:rPr>
          <w:sz w:val="16"/>
          <w:szCs w:val="16"/>
          <w:lang w:val="en-US"/>
        </w:rPr>
      </w:pPr>
      <w:r w:rsidRPr="00764E58">
        <w:rPr>
          <w:rStyle w:val="a9"/>
          <w:sz w:val="16"/>
          <w:szCs w:val="16"/>
        </w:rPr>
        <w:footnoteRef/>
      </w:r>
      <w:r w:rsidRPr="00764E58">
        <w:rPr>
          <w:sz w:val="16"/>
          <w:szCs w:val="16"/>
          <w:lang w:val="en-US"/>
        </w:rPr>
        <w:t xml:space="preserve"> </w:t>
      </w:r>
      <w:r w:rsidRPr="00764E58">
        <w:rPr>
          <w:sz w:val="16"/>
          <w:szCs w:val="16"/>
        </w:rPr>
        <w:t>См</w:t>
      </w:r>
      <w:r w:rsidRPr="00764E58">
        <w:rPr>
          <w:sz w:val="16"/>
          <w:szCs w:val="16"/>
          <w:lang w:val="en-US"/>
        </w:rPr>
        <w:t xml:space="preserve">. Rafael La </w:t>
      </w:r>
      <w:proofErr w:type="spellStart"/>
      <w:r w:rsidRPr="00764E58">
        <w:rPr>
          <w:sz w:val="16"/>
          <w:szCs w:val="16"/>
          <w:lang w:val="en-US"/>
        </w:rPr>
        <w:t>Porta</w:t>
      </w:r>
      <w:proofErr w:type="spellEnd"/>
      <w:r w:rsidRPr="00764E58">
        <w:rPr>
          <w:sz w:val="16"/>
          <w:szCs w:val="16"/>
          <w:lang w:val="en-US"/>
        </w:rPr>
        <w:t>, Florencio Lopez-De-</w:t>
      </w:r>
      <w:proofErr w:type="spellStart"/>
      <w:r w:rsidRPr="00764E58">
        <w:rPr>
          <w:sz w:val="16"/>
          <w:szCs w:val="16"/>
          <w:lang w:val="en-US"/>
        </w:rPr>
        <w:t>Silanes</w:t>
      </w:r>
      <w:proofErr w:type="spellEnd"/>
      <w:r w:rsidRPr="00764E58">
        <w:rPr>
          <w:sz w:val="16"/>
          <w:szCs w:val="16"/>
          <w:lang w:val="en-US"/>
        </w:rPr>
        <w:t xml:space="preserve">, Andrei </w:t>
      </w:r>
      <w:proofErr w:type="spellStart"/>
      <w:r w:rsidRPr="00764E58">
        <w:rPr>
          <w:sz w:val="16"/>
          <w:szCs w:val="16"/>
          <w:lang w:val="en-US"/>
        </w:rPr>
        <w:t>Shleifer</w:t>
      </w:r>
      <w:proofErr w:type="spellEnd"/>
      <w:r w:rsidRPr="00764E58">
        <w:rPr>
          <w:sz w:val="16"/>
          <w:szCs w:val="16"/>
          <w:lang w:val="en-US"/>
        </w:rPr>
        <w:t xml:space="preserve">. What Works in Securities Laws? // The Journal of Finance. - Vol. 61. </w:t>
      </w:r>
      <w:proofErr w:type="gramStart"/>
      <w:r w:rsidRPr="00764E58">
        <w:rPr>
          <w:sz w:val="16"/>
          <w:szCs w:val="16"/>
          <w:lang w:val="en-US"/>
        </w:rPr>
        <w:t>- No. 1 (</w:t>
      </w:r>
      <w:r w:rsidRPr="00764E58">
        <w:rPr>
          <w:sz w:val="16"/>
          <w:szCs w:val="16"/>
        </w:rPr>
        <w:t>Февраль</w:t>
      </w:r>
      <w:r w:rsidRPr="00764E58">
        <w:rPr>
          <w:sz w:val="16"/>
          <w:szCs w:val="16"/>
          <w:lang w:val="en-US"/>
        </w:rPr>
        <w:t>, 2006).</w:t>
      </w:r>
      <w:proofErr w:type="gramEnd"/>
      <w:r w:rsidRPr="00764E58">
        <w:rPr>
          <w:sz w:val="16"/>
          <w:szCs w:val="16"/>
          <w:lang w:val="en-US"/>
        </w:rPr>
        <w:t xml:space="preserve"> - </w:t>
      </w:r>
      <w:proofErr w:type="spellStart"/>
      <w:proofErr w:type="gramStart"/>
      <w:r w:rsidRPr="00764E58">
        <w:rPr>
          <w:sz w:val="16"/>
          <w:szCs w:val="16"/>
        </w:rPr>
        <w:t>стр</w:t>
      </w:r>
      <w:proofErr w:type="spellEnd"/>
      <w:proofErr w:type="gramEnd"/>
      <w:r w:rsidRPr="00764E58">
        <w:rPr>
          <w:sz w:val="16"/>
          <w:szCs w:val="16"/>
          <w:lang w:val="en-US"/>
        </w:rPr>
        <w:t xml:space="preserve">. 1-32. - </w:t>
      </w:r>
      <w:r w:rsidRPr="00764E58">
        <w:rPr>
          <w:sz w:val="16"/>
          <w:szCs w:val="16"/>
        </w:rPr>
        <w:t>Опубликовано</w:t>
      </w:r>
      <w:r w:rsidRPr="00764E58">
        <w:rPr>
          <w:sz w:val="16"/>
          <w:szCs w:val="16"/>
          <w:lang w:val="en-US"/>
        </w:rPr>
        <w:t xml:space="preserve">: Wiley for the American Finance Association. </w:t>
      </w:r>
      <w:proofErr w:type="gramStart"/>
      <w:r w:rsidRPr="00764E58">
        <w:rPr>
          <w:sz w:val="16"/>
          <w:szCs w:val="16"/>
          <w:lang w:val="en-US"/>
        </w:rPr>
        <w:t xml:space="preserve">– </w:t>
      </w:r>
      <w:r w:rsidRPr="00764E58">
        <w:rPr>
          <w:sz w:val="16"/>
          <w:szCs w:val="16"/>
        </w:rPr>
        <w:t>Режим</w:t>
      </w:r>
      <w:r w:rsidRPr="00764E58">
        <w:rPr>
          <w:sz w:val="16"/>
          <w:szCs w:val="16"/>
          <w:lang w:val="en-US"/>
        </w:rPr>
        <w:t xml:space="preserve"> </w:t>
      </w:r>
      <w:r w:rsidRPr="00764E58">
        <w:rPr>
          <w:sz w:val="16"/>
          <w:szCs w:val="16"/>
        </w:rPr>
        <w:t>доступа</w:t>
      </w:r>
      <w:r w:rsidRPr="00764E58">
        <w:rPr>
          <w:sz w:val="16"/>
          <w:szCs w:val="16"/>
          <w:lang w:val="en-US"/>
        </w:rPr>
        <w:t xml:space="preserve">: http://www.jstor.org/stable/3699333, </w:t>
      </w:r>
      <w:r w:rsidRPr="00764E58">
        <w:rPr>
          <w:sz w:val="16"/>
          <w:szCs w:val="16"/>
        </w:rPr>
        <w:t>платный</w:t>
      </w:r>
      <w:r w:rsidRPr="00764E58">
        <w:rPr>
          <w:sz w:val="16"/>
          <w:szCs w:val="16"/>
          <w:lang w:val="en-US"/>
        </w:rPr>
        <w:t>.</w:t>
      </w:r>
      <w:proofErr w:type="gramEnd"/>
      <w:r w:rsidRPr="00764E58">
        <w:rPr>
          <w:sz w:val="16"/>
          <w:szCs w:val="16"/>
          <w:lang w:val="en-US"/>
        </w:rPr>
        <w:t xml:space="preserve"> </w:t>
      </w:r>
      <w:proofErr w:type="gramStart"/>
      <w:r w:rsidRPr="00764E58">
        <w:rPr>
          <w:sz w:val="16"/>
          <w:szCs w:val="16"/>
          <w:lang w:val="en-US"/>
        </w:rPr>
        <w:t xml:space="preserve">– </w:t>
      </w:r>
      <w:proofErr w:type="spellStart"/>
      <w:r w:rsidRPr="00764E58">
        <w:rPr>
          <w:sz w:val="16"/>
          <w:szCs w:val="16"/>
        </w:rPr>
        <w:t>Загл</w:t>
      </w:r>
      <w:proofErr w:type="spellEnd"/>
      <w:r w:rsidRPr="00764E58">
        <w:rPr>
          <w:sz w:val="16"/>
          <w:szCs w:val="16"/>
          <w:lang w:val="en-US"/>
        </w:rPr>
        <w:t xml:space="preserve">. </w:t>
      </w:r>
      <w:r w:rsidRPr="00764E58">
        <w:rPr>
          <w:sz w:val="16"/>
          <w:szCs w:val="16"/>
        </w:rPr>
        <w:t>с</w:t>
      </w:r>
      <w:r w:rsidRPr="00764E58">
        <w:rPr>
          <w:sz w:val="16"/>
          <w:szCs w:val="16"/>
          <w:lang w:val="en-US"/>
        </w:rPr>
        <w:t xml:space="preserve"> </w:t>
      </w:r>
      <w:r w:rsidRPr="00764E58">
        <w:rPr>
          <w:sz w:val="16"/>
          <w:szCs w:val="16"/>
        </w:rPr>
        <w:t>экрана</w:t>
      </w:r>
      <w:r w:rsidRPr="00764E58">
        <w:rPr>
          <w:sz w:val="16"/>
          <w:szCs w:val="16"/>
          <w:lang w:val="en-US"/>
        </w:rPr>
        <w:t>.</w:t>
      </w:r>
      <w:proofErr w:type="gramEnd"/>
    </w:p>
  </w:footnote>
  <w:footnote w:id="2">
    <w:p w:rsidR="00E24259" w:rsidRPr="00172A91" w:rsidRDefault="00E24259" w:rsidP="00263A90">
      <w:pPr>
        <w:pStyle w:val="a7"/>
        <w:jc w:val="both"/>
        <w:rPr>
          <w:sz w:val="16"/>
          <w:szCs w:val="16"/>
          <w:lang w:val="en-US"/>
        </w:rPr>
      </w:pPr>
      <w:r w:rsidRPr="00172A91">
        <w:rPr>
          <w:rStyle w:val="a9"/>
          <w:sz w:val="16"/>
          <w:szCs w:val="16"/>
        </w:rPr>
        <w:footnoteRef/>
      </w:r>
      <w:r w:rsidRPr="00172A91">
        <w:rPr>
          <w:sz w:val="16"/>
          <w:szCs w:val="16"/>
          <w:lang w:val="en-US"/>
        </w:rPr>
        <w:t xml:space="preserve"> </w:t>
      </w:r>
      <w:proofErr w:type="gramStart"/>
      <w:r w:rsidRPr="00172A91">
        <w:rPr>
          <w:sz w:val="16"/>
          <w:szCs w:val="16"/>
          <w:lang w:val="en-US"/>
        </w:rPr>
        <w:t xml:space="preserve">Rafael La </w:t>
      </w:r>
      <w:proofErr w:type="spellStart"/>
      <w:r w:rsidRPr="00172A91">
        <w:rPr>
          <w:sz w:val="16"/>
          <w:szCs w:val="16"/>
          <w:lang w:val="en-US"/>
        </w:rPr>
        <w:t>Porta</w:t>
      </w:r>
      <w:proofErr w:type="spellEnd"/>
      <w:r w:rsidRPr="00172A91">
        <w:rPr>
          <w:sz w:val="16"/>
          <w:szCs w:val="16"/>
          <w:lang w:val="en-US"/>
        </w:rPr>
        <w:t>, Florencio Lopez-De-</w:t>
      </w:r>
      <w:proofErr w:type="spellStart"/>
      <w:r w:rsidRPr="00172A91">
        <w:rPr>
          <w:sz w:val="16"/>
          <w:szCs w:val="16"/>
          <w:lang w:val="en-US"/>
        </w:rPr>
        <w:t>Silanes</w:t>
      </w:r>
      <w:proofErr w:type="spellEnd"/>
      <w:r w:rsidRPr="00172A91">
        <w:rPr>
          <w:sz w:val="16"/>
          <w:szCs w:val="16"/>
          <w:lang w:val="en-US"/>
        </w:rPr>
        <w:t xml:space="preserve">, Andrei </w:t>
      </w:r>
      <w:proofErr w:type="spellStart"/>
      <w:r w:rsidRPr="00172A91">
        <w:rPr>
          <w:sz w:val="16"/>
          <w:szCs w:val="16"/>
          <w:lang w:val="en-US"/>
        </w:rPr>
        <w:t>Shleifer</w:t>
      </w:r>
      <w:proofErr w:type="spellEnd"/>
      <w:r w:rsidRPr="00172A91">
        <w:rPr>
          <w:sz w:val="16"/>
          <w:szCs w:val="16"/>
          <w:lang w:val="en-US"/>
        </w:rPr>
        <w:t>.</w:t>
      </w:r>
      <w:proofErr w:type="gramEnd"/>
      <w:r w:rsidRPr="00172A91">
        <w:rPr>
          <w:sz w:val="16"/>
          <w:szCs w:val="16"/>
          <w:lang w:val="en-US"/>
        </w:rPr>
        <w:t xml:space="preserve"> What Works in Securities Laws? // The Journal of Finance. - Vol. 61. </w:t>
      </w:r>
      <w:proofErr w:type="gramStart"/>
      <w:r w:rsidRPr="00172A91">
        <w:rPr>
          <w:sz w:val="16"/>
          <w:szCs w:val="16"/>
          <w:lang w:val="en-US"/>
        </w:rPr>
        <w:t>- No. 1 (</w:t>
      </w:r>
      <w:r w:rsidRPr="00172A91">
        <w:rPr>
          <w:sz w:val="16"/>
          <w:szCs w:val="16"/>
        </w:rPr>
        <w:t>Февраль</w:t>
      </w:r>
      <w:r w:rsidRPr="00172A91">
        <w:rPr>
          <w:sz w:val="16"/>
          <w:szCs w:val="16"/>
          <w:lang w:val="en-US"/>
        </w:rPr>
        <w:t>, 2006).</w:t>
      </w:r>
      <w:proofErr w:type="gramEnd"/>
      <w:r w:rsidRPr="00172A91">
        <w:rPr>
          <w:sz w:val="16"/>
          <w:szCs w:val="16"/>
          <w:lang w:val="en-US"/>
        </w:rPr>
        <w:t xml:space="preserve"> - </w:t>
      </w:r>
      <w:proofErr w:type="spellStart"/>
      <w:proofErr w:type="gramStart"/>
      <w:r w:rsidRPr="00172A91">
        <w:rPr>
          <w:sz w:val="16"/>
          <w:szCs w:val="16"/>
        </w:rPr>
        <w:t>стр</w:t>
      </w:r>
      <w:proofErr w:type="spellEnd"/>
      <w:proofErr w:type="gramEnd"/>
      <w:r w:rsidRPr="00172A91">
        <w:rPr>
          <w:sz w:val="16"/>
          <w:szCs w:val="16"/>
          <w:lang w:val="en-US"/>
        </w:rPr>
        <w:t xml:space="preserve">. 1-32. - </w:t>
      </w:r>
      <w:r w:rsidRPr="00172A91">
        <w:rPr>
          <w:sz w:val="16"/>
          <w:szCs w:val="16"/>
        </w:rPr>
        <w:t>Опубликовано</w:t>
      </w:r>
      <w:r w:rsidRPr="00172A91">
        <w:rPr>
          <w:sz w:val="16"/>
          <w:szCs w:val="16"/>
          <w:lang w:val="en-US"/>
        </w:rPr>
        <w:t xml:space="preserve">: Wiley for the American Finance Association. </w:t>
      </w:r>
      <w:proofErr w:type="gramStart"/>
      <w:r w:rsidRPr="00172A91">
        <w:rPr>
          <w:sz w:val="16"/>
          <w:szCs w:val="16"/>
          <w:lang w:val="en-US"/>
        </w:rPr>
        <w:t xml:space="preserve">– </w:t>
      </w:r>
      <w:r w:rsidRPr="00172A91">
        <w:rPr>
          <w:sz w:val="16"/>
          <w:szCs w:val="16"/>
        </w:rPr>
        <w:t>Режим</w:t>
      </w:r>
      <w:r w:rsidRPr="00172A91">
        <w:rPr>
          <w:sz w:val="16"/>
          <w:szCs w:val="16"/>
          <w:lang w:val="en-US"/>
        </w:rPr>
        <w:t xml:space="preserve"> </w:t>
      </w:r>
      <w:r w:rsidRPr="00172A91">
        <w:rPr>
          <w:sz w:val="16"/>
          <w:szCs w:val="16"/>
        </w:rPr>
        <w:t>доступа</w:t>
      </w:r>
      <w:r w:rsidRPr="00172A91">
        <w:rPr>
          <w:sz w:val="16"/>
          <w:szCs w:val="16"/>
          <w:lang w:val="en-US"/>
        </w:rPr>
        <w:t xml:space="preserve">: </w:t>
      </w:r>
      <w:hyperlink r:id="rId1" w:history="1">
        <w:r w:rsidRPr="00172A91">
          <w:rPr>
            <w:rStyle w:val="aa"/>
            <w:sz w:val="16"/>
            <w:szCs w:val="16"/>
            <w:lang w:val="en-US"/>
          </w:rPr>
          <w:t>http://www.jstor.org/stable/3699333</w:t>
        </w:r>
      </w:hyperlink>
      <w:r w:rsidRPr="00172A91">
        <w:rPr>
          <w:sz w:val="16"/>
          <w:szCs w:val="16"/>
          <w:lang w:val="en-US"/>
        </w:rPr>
        <w:t xml:space="preserve">, </w:t>
      </w:r>
      <w:r w:rsidRPr="00172A91">
        <w:rPr>
          <w:sz w:val="16"/>
          <w:szCs w:val="16"/>
        </w:rPr>
        <w:t>платный</w:t>
      </w:r>
      <w:r w:rsidRPr="00172A91">
        <w:rPr>
          <w:sz w:val="16"/>
          <w:szCs w:val="16"/>
          <w:lang w:val="en-US"/>
        </w:rPr>
        <w:t>.</w:t>
      </w:r>
      <w:proofErr w:type="gramEnd"/>
      <w:r w:rsidRPr="00172A91">
        <w:rPr>
          <w:sz w:val="16"/>
          <w:szCs w:val="16"/>
          <w:lang w:val="en-US"/>
        </w:rPr>
        <w:t xml:space="preserve"> </w:t>
      </w:r>
      <w:proofErr w:type="gramStart"/>
      <w:r w:rsidRPr="00172A91">
        <w:rPr>
          <w:sz w:val="16"/>
          <w:szCs w:val="16"/>
          <w:lang w:val="en-US"/>
        </w:rPr>
        <w:t xml:space="preserve">– </w:t>
      </w:r>
      <w:proofErr w:type="spellStart"/>
      <w:r w:rsidRPr="00172A91">
        <w:rPr>
          <w:sz w:val="16"/>
          <w:szCs w:val="16"/>
        </w:rPr>
        <w:t>Загл</w:t>
      </w:r>
      <w:proofErr w:type="spellEnd"/>
      <w:r w:rsidRPr="00172A91">
        <w:rPr>
          <w:sz w:val="16"/>
          <w:szCs w:val="16"/>
          <w:lang w:val="en-US"/>
        </w:rPr>
        <w:t xml:space="preserve">. </w:t>
      </w:r>
      <w:r w:rsidRPr="00172A91">
        <w:rPr>
          <w:sz w:val="16"/>
          <w:szCs w:val="16"/>
        </w:rPr>
        <w:t>с</w:t>
      </w:r>
      <w:r w:rsidRPr="00172A91">
        <w:rPr>
          <w:sz w:val="16"/>
          <w:szCs w:val="16"/>
          <w:lang w:val="en-US"/>
        </w:rPr>
        <w:t xml:space="preserve"> </w:t>
      </w:r>
      <w:r w:rsidRPr="00172A91">
        <w:rPr>
          <w:sz w:val="16"/>
          <w:szCs w:val="16"/>
        </w:rPr>
        <w:t>экрана</w:t>
      </w:r>
      <w:r w:rsidRPr="00172A91">
        <w:rPr>
          <w:sz w:val="16"/>
          <w:szCs w:val="16"/>
          <w:lang w:val="en-US"/>
        </w:rPr>
        <w:t>.</w:t>
      </w:r>
      <w:proofErr w:type="gramEnd"/>
      <w:r w:rsidRPr="00172A91">
        <w:rPr>
          <w:sz w:val="16"/>
          <w:szCs w:val="16"/>
          <w:lang w:val="en-US"/>
        </w:rPr>
        <w:t xml:space="preserve"> </w:t>
      </w:r>
    </w:p>
  </w:footnote>
  <w:footnote w:id="3">
    <w:p w:rsidR="00E24259" w:rsidRPr="00172A91" w:rsidRDefault="00E24259" w:rsidP="00172A91">
      <w:pPr>
        <w:pStyle w:val="a7"/>
        <w:jc w:val="both"/>
        <w:rPr>
          <w:sz w:val="16"/>
          <w:szCs w:val="16"/>
        </w:rPr>
      </w:pPr>
      <w:r w:rsidRPr="00172A91">
        <w:rPr>
          <w:rStyle w:val="a9"/>
          <w:sz w:val="16"/>
          <w:szCs w:val="16"/>
        </w:rPr>
        <w:footnoteRef/>
      </w:r>
      <w:r w:rsidRPr="00172A91">
        <w:rPr>
          <w:sz w:val="16"/>
          <w:szCs w:val="16"/>
        </w:rPr>
        <w:t xml:space="preserve"> Сообщение президента Ф.Д.Рузвельта </w:t>
      </w:r>
      <w:r w:rsidRPr="00172A91">
        <w:rPr>
          <w:rFonts w:cs="Times New Roman"/>
          <w:sz w:val="16"/>
          <w:szCs w:val="16"/>
        </w:rPr>
        <w:t>от 29 марта 1933 года, направленное в Конгре</w:t>
      </w:r>
      <w:proofErr w:type="gramStart"/>
      <w:r w:rsidRPr="00172A91">
        <w:rPr>
          <w:rFonts w:cs="Times New Roman"/>
          <w:sz w:val="16"/>
          <w:szCs w:val="16"/>
        </w:rPr>
        <w:t>сс в св</w:t>
      </w:r>
      <w:proofErr w:type="gramEnd"/>
      <w:r w:rsidRPr="00172A91">
        <w:rPr>
          <w:rFonts w:cs="Times New Roman"/>
          <w:sz w:val="16"/>
          <w:szCs w:val="16"/>
        </w:rPr>
        <w:t>язи с необходимостью принятия закона о ценных бумагах.</w:t>
      </w:r>
    </w:p>
  </w:footnote>
  <w:footnote w:id="4">
    <w:p w:rsidR="00E24259" w:rsidRPr="00172A91" w:rsidRDefault="00E24259" w:rsidP="00172A91">
      <w:pPr>
        <w:pStyle w:val="a7"/>
        <w:jc w:val="both"/>
        <w:rPr>
          <w:sz w:val="16"/>
          <w:szCs w:val="16"/>
          <w:lang w:val="en-US"/>
        </w:rPr>
      </w:pPr>
      <w:r w:rsidRPr="00172A91">
        <w:rPr>
          <w:rStyle w:val="a9"/>
          <w:sz w:val="16"/>
          <w:szCs w:val="16"/>
        </w:rPr>
        <w:footnoteRef/>
      </w:r>
      <w:r w:rsidRPr="00172A91">
        <w:rPr>
          <w:sz w:val="16"/>
          <w:szCs w:val="16"/>
          <w:lang w:val="en-US"/>
        </w:rPr>
        <w:t xml:space="preserve"> ROBERT L. KNAUSS. DISCLOSURE REQUIREMENTS—CHANGING CONCEPTS OF LIABILITY // The Business Lawyer. - Vol. 24. </w:t>
      </w:r>
      <w:proofErr w:type="gramStart"/>
      <w:r w:rsidRPr="00172A91">
        <w:rPr>
          <w:sz w:val="16"/>
          <w:szCs w:val="16"/>
          <w:lang w:val="en-US"/>
        </w:rPr>
        <w:t>- No. 1 (</w:t>
      </w:r>
      <w:r w:rsidRPr="00172A91">
        <w:rPr>
          <w:sz w:val="16"/>
          <w:szCs w:val="16"/>
        </w:rPr>
        <w:t>Ноябрь</w:t>
      </w:r>
      <w:r w:rsidRPr="00172A91">
        <w:rPr>
          <w:sz w:val="16"/>
          <w:szCs w:val="16"/>
          <w:lang w:val="en-US"/>
        </w:rPr>
        <w:t>, 1968).</w:t>
      </w:r>
      <w:proofErr w:type="gramEnd"/>
      <w:r w:rsidRPr="00172A91">
        <w:rPr>
          <w:sz w:val="16"/>
          <w:szCs w:val="16"/>
          <w:lang w:val="en-US"/>
        </w:rPr>
        <w:t xml:space="preserve"> – </w:t>
      </w:r>
      <w:proofErr w:type="spellStart"/>
      <w:proofErr w:type="gramStart"/>
      <w:r w:rsidRPr="00172A91">
        <w:rPr>
          <w:sz w:val="16"/>
          <w:szCs w:val="16"/>
        </w:rPr>
        <w:t>стр</w:t>
      </w:r>
      <w:proofErr w:type="spellEnd"/>
      <w:proofErr w:type="gramEnd"/>
      <w:r w:rsidRPr="00172A91">
        <w:rPr>
          <w:sz w:val="16"/>
          <w:szCs w:val="16"/>
          <w:lang w:val="en-US"/>
        </w:rPr>
        <w:t xml:space="preserve">. 43-61. - </w:t>
      </w:r>
      <w:r w:rsidRPr="00172A91">
        <w:rPr>
          <w:sz w:val="16"/>
          <w:szCs w:val="16"/>
        </w:rPr>
        <w:t>Опубликовано</w:t>
      </w:r>
      <w:r w:rsidRPr="00172A91">
        <w:rPr>
          <w:sz w:val="16"/>
          <w:szCs w:val="16"/>
          <w:lang w:val="en-US"/>
        </w:rPr>
        <w:t xml:space="preserve">: American Bar Association. </w:t>
      </w:r>
      <w:proofErr w:type="gramStart"/>
      <w:r w:rsidRPr="00172A91">
        <w:rPr>
          <w:sz w:val="16"/>
          <w:szCs w:val="16"/>
          <w:lang w:val="en-US"/>
        </w:rPr>
        <w:t xml:space="preserve">– </w:t>
      </w:r>
      <w:r w:rsidRPr="00172A91">
        <w:rPr>
          <w:sz w:val="16"/>
          <w:szCs w:val="16"/>
        </w:rPr>
        <w:t>Режим</w:t>
      </w:r>
      <w:r w:rsidRPr="00172A91">
        <w:rPr>
          <w:sz w:val="16"/>
          <w:szCs w:val="16"/>
          <w:lang w:val="en-US"/>
        </w:rPr>
        <w:t xml:space="preserve"> </w:t>
      </w:r>
      <w:r w:rsidRPr="00172A91">
        <w:rPr>
          <w:sz w:val="16"/>
          <w:szCs w:val="16"/>
        </w:rPr>
        <w:t>доступа</w:t>
      </w:r>
      <w:r w:rsidRPr="00172A91">
        <w:rPr>
          <w:sz w:val="16"/>
          <w:szCs w:val="16"/>
          <w:lang w:val="en-US"/>
        </w:rPr>
        <w:t xml:space="preserve">: </w:t>
      </w:r>
      <w:hyperlink r:id="rId2" w:history="1">
        <w:r w:rsidRPr="00172A91">
          <w:rPr>
            <w:rStyle w:val="aa"/>
            <w:sz w:val="16"/>
            <w:szCs w:val="16"/>
            <w:lang w:val="en-US"/>
          </w:rPr>
          <w:t>http://www.jstor.org/stable/40684892</w:t>
        </w:r>
      </w:hyperlink>
      <w:r w:rsidRPr="00172A91">
        <w:rPr>
          <w:sz w:val="16"/>
          <w:szCs w:val="16"/>
          <w:lang w:val="en-US"/>
        </w:rPr>
        <w:t xml:space="preserve">, </w:t>
      </w:r>
      <w:r w:rsidRPr="00172A91">
        <w:rPr>
          <w:sz w:val="16"/>
          <w:szCs w:val="16"/>
        </w:rPr>
        <w:t>платный</w:t>
      </w:r>
      <w:r w:rsidRPr="00172A91">
        <w:rPr>
          <w:sz w:val="16"/>
          <w:szCs w:val="16"/>
          <w:lang w:val="en-US"/>
        </w:rPr>
        <w:t>.</w:t>
      </w:r>
      <w:proofErr w:type="gramEnd"/>
      <w:r w:rsidRPr="00172A91">
        <w:rPr>
          <w:sz w:val="16"/>
          <w:szCs w:val="16"/>
          <w:lang w:val="en-US"/>
        </w:rPr>
        <w:t xml:space="preserve"> </w:t>
      </w:r>
      <w:proofErr w:type="gramStart"/>
      <w:r w:rsidRPr="00172A91">
        <w:rPr>
          <w:sz w:val="16"/>
          <w:szCs w:val="16"/>
          <w:lang w:val="en-US"/>
        </w:rPr>
        <w:t xml:space="preserve">– </w:t>
      </w:r>
      <w:proofErr w:type="spellStart"/>
      <w:r w:rsidRPr="00172A91">
        <w:rPr>
          <w:sz w:val="16"/>
          <w:szCs w:val="16"/>
        </w:rPr>
        <w:t>Загл</w:t>
      </w:r>
      <w:proofErr w:type="spellEnd"/>
      <w:r w:rsidRPr="00172A91">
        <w:rPr>
          <w:sz w:val="16"/>
          <w:szCs w:val="16"/>
          <w:lang w:val="en-US"/>
        </w:rPr>
        <w:t xml:space="preserve">. </w:t>
      </w:r>
      <w:r w:rsidRPr="00172A91">
        <w:rPr>
          <w:sz w:val="16"/>
          <w:szCs w:val="16"/>
        </w:rPr>
        <w:t>с</w:t>
      </w:r>
      <w:r w:rsidRPr="00172A91">
        <w:rPr>
          <w:sz w:val="16"/>
          <w:szCs w:val="16"/>
          <w:lang w:val="en-US"/>
        </w:rPr>
        <w:t xml:space="preserve"> </w:t>
      </w:r>
      <w:r w:rsidRPr="00172A91">
        <w:rPr>
          <w:sz w:val="16"/>
          <w:szCs w:val="16"/>
        </w:rPr>
        <w:t>экрана</w:t>
      </w:r>
      <w:r w:rsidRPr="00172A91">
        <w:rPr>
          <w:sz w:val="16"/>
          <w:szCs w:val="16"/>
          <w:lang w:val="en-US"/>
        </w:rPr>
        <w:t>.</w:t>
      </w:r>
      <w:proofErr w:type="gramEnd"/>
      <w:r w:rsidRPr="00172A91">
        <w:rPr>
          <w:sz w:val="16"/>
          <w:szCs w:val="16"/>
          <w:lang w:val="en-US"/>
        </w:rPr>
        <w:t xml:space="preserve"> </w:t>
      </w:r>
    </w:p>
  </w:footnote>
  <w:footnote w:id="5">
    <w:p w:rsidR="00E24259" w:rsidRPr="00172A91" w:rsidRDefault="00E24259" w:rsidP="00172A91">
      <w:pPr>
        <w:pStyle w:val="a7"/>
        <w:jc w:val="both"/>
        <w:rPr>
          <w:sz w:val="16"/>
          <w:szCs w:val="16"/>
        </w:rPr>
      </w:pPr>
      <w:r w:rsidRPr="00172A91">
        <w:rPr>
          <w:rStyle w:val="a9"/>
          <w:sz w:val="16"/>
          <w:szCs w:val="16"/>
        </w:rPr>
        <w:footnoteRef/>
      </w:r>
      <w:r w:rsidRPr="00172A91">
        <w:rPr>
          <w:sz w:val="16"/>
          <w:szCs w:val="16"/>
        </w:rPr>
        <w:t xml:space="preserve">Официальный сайт ОЭСР [Электронный ресурс]: Принципы корпоративного управления ОЭСР. – Режим доступа: </w:t>
      </w:r>
      <w:hyperlink r:id="rId3" w:history="1">
        <w:r w:rsidRPr="00172A91">
          <w:rPr>
            <w:rStyle w:val="aa"/>
            <w:sz w:val="16"/>
            <w:szCs w:val="16"/>
          </w:rPr>
          <w:t>http://www.oecd.org/daf/ca/corporategovernanceprinciples/32159669.pdf</w:t>
        </w:r>
      </w:hyperlink>
      <w:r w:rsidRPr="00172A91">
        <w:rPr>
          <w:sz w:val="16"/>
          <w:szCs w:val="16"/>
        </w:rPr>
        <w:t xml:space="preserve">, свободный. – </w:t>
      </w:r>
      <w:proofErr w:type="spellStart"/>
      <w:r w:rsidRPr="00172A91">
        <w:rPr>
          <w:sz w:val="16"/>
          <w:szCs w:val="16"/>
        </w:rPr>
        <w:t>Загл</w:t>
      </w:r>
      <w:proofErr w:type="spellEnd"/>
      <w:r w:rsidRPr="00172A91">
        <w:rPr>
          <w:sz w:val="16"/>
          <w:szCs w:val="16"/>
        </w:rPr>
        <w:t xml:space="preserve">. с экрана. </w:t>
      </w:r>
    </w:p>
  </w:footnote>
  <w:footnote w:id="6">
    <w:p w:rsidR="00E24259" w:rsidRPr="00172A91" w:rsidRDefault="00E24259" w:rsidP="00172A91">
      <w:pPr>
        <w:pStyle w:val="a7"/>
        <w:jc w:val="both"/>
        <w:rPr>
          <w:sz w:val="16"/>
          <w:szCs w:val="16"/>
        </w:rPr>
      </w:pPr>
      <w:r w:rsidRPr="00172A91">
        <w:rPr>
          <w:rStyle w:val="a9"/>
          <w:sz w:val="16"/>
          <w:szCs w:val="16"/>
        </w:rPr>
        <w:footnoteRef/>
      </w:r>
      <w:r w:rsidRPr="00172A91">
        <w:rPr>
          <w:sz w:val="16"/>
          <w:szCs w:val="16"/>
        </w:rPr>
        <w:t xml:space="preserve"> Там же.</w:t>
      </w:r>
    </w:p>
  </w:footnote>
  <w:footnote w:id="7">
    <w:p w:rsidR="00E24259" w:rsidRPr="00172A91" w:rsidRDefault="00E24259" w:rsidP="00172A91">
      <w:pPr>
        <w:pStyle w:val="a7"/>
        <w:jc w:val="both"/>
        <w:rPr>
          <w:sz w:val="16"/>
          <w:szCs w:val="16"/>
        </w:rPr>
      </w:pPr>
      <w:r w:rsidRPr="00172A91">
        <w:rPr>
          <w:rStyle w:val="a9"/>
          <w:sz w:val="16"/>
          <w:szCs w:val="16"/>
        </w:rPr>
        <w:footnoteRef/>
      </w:r>
      <w:r w:rsidRPr="00172A91">
        <w:rPr>
          <w:sz w:val="16"/>
          <w:szCs w:val="16"/>
        </w:rPr>
        <w:t xml:space="preserve"> Федеральный закон от 22.04.1996 </w:t>
      </w:r>
      <w:r w:rsidRPr="00172A91">
        <w:rPr>
          <w:sz w:val="16"/>
          <w:szCs w:val="16"/>
          <w:lang w:val="en-US"/>
        </w:rPr>
        <w:t>N</w:t>
      </w:r>
      <w:r w:rsidRPr="00172A91">
        <w:rPr>
          <w:sz w:val="16"/>
          <w:szCs w:val="16"/>
        </w:rPr>
        <w:t xml:space="preserve"> 39-ФЗ "О рынке ценных бумаг" // Российская газета. - N 79. – 1996.</w:t>
      </w:r>
    </w:p>
  </w:footnote>
  <w:footnote w:id="8">
    <w:p w:rsidR="00E24259" w:rsidRPr="003B6767" w:rsidRDefault="00E24259" w:rsidP="00244F11">
      <w:pPr>
        <w:pStyle w:val="a7"/>
        <w:jc w:val="both"/>
        <w:rPr>
          <w:sz w:val="16"/>
          <w:szCs w:val="16"/>
        </w:rPr>
      </w:pPr>
      <w:r w:rsidRPr="003B6767">
        <w:rPr>
          <w:rStyle w:val="a9"/>
          <w:sz w:val="16"/>
          <w:szCs w:val="16"/>
        </w:rPr>
        <w:footnoteRef/>
      </w:r>
      <w:r w:rsidRPr="003B6767">
        <w:rPr>
          <w:sz w:val="16"/>
          <w:szCs w:val="16"/>
        </w:rPr>
        <w:t xml:space="preserve"> Официальный сайт ОАО «Сбербанк России» [Электронный ресурс]: РДР на акции компании UNITED COMPANY RUSAL PLC. – Режим доступа: </w:t>
      </w:r>
      <w:hyperlink r:id="rId4" w:history="1">
        <w:r w:rsidRPr="003B6767">
          <w:rPr>
            <w:rStyle w:val="aa"/>
            <w:sz w:val="16"/>
            <w:szCs w:val="16"/>
            <w:lang w:val="en-US"/>
          </w:rPr>
          <w:t>http</w:t>
        </w:r>
        <w:r w:rsidRPr="003B6767">
          <w:rPr>
            <w:rStyle w:val="aa"/>
            <w:sz w:val="16"/>
            <w:szCs w:val="16"/>
          </w:rPr>
          <w:t>://</w:t>
        </w:r>
        <w:proofErr w:type="spellStart"/>
        <w:r w:rsidRPr="003B6767">
          <w:rPr>
            <w:rStyle w:val="aa"/>
            <w:sz w:val="16"/>
            <w:szCs w:val="16"/>
            <w:lang w:val="en-US"/>
          </w:rPr>
          <w:t>sbrf</w:t>
        </w:r>
        <w:proofErr w:type="spellEnd"/>
        <w:r w:rsidRPr="003B6767">
          <w:rPr>
            <w:rStyle w:val="aa"/>
            <w:sz w:val="16"/>
            <w:szCs w:val="16"/>
          </w:rPr>
          <w:t>.</w:t>
        </w:r>
        <w:proofErr w:type="spellStart"/>
        <w:r w:rsidRPr="003B6767">
          <w:rPr>
            <w:rStyle w:val="aa"/>
            <w:sz w:val="16"/>
            <w:szCs w:val="16"/>
            <w:lang w:val="en-US"/>
          </w:rPr>
          <w:t>ru</w:t>
        </w:r>
        <w:proofErr w:type="spellEnd"/>
        <w:r w:rsidRPr="003B6767">
          <w:rPr>
            <w:rStyle w:val="aa"/>
            <w:sz w:val="16"/>
            <w:szCs w:val="16"/>
          </w:rPr>
          <w:t>/</w:t>
        </w:r>
        <w:proofErr w:type="spellStart"/>
        <w:r w:rsidRPr="003B6767">
          <w:rPr>
            <w:rStyle w:val="aa"/>
            <w:sz w:val="16"/>
            <w:szCs w:val="16"/>
            <w:lang w:val="en-US"/>
          </w:rPr>
          <w:t>moscow</w:t>
        </w:r>
        <w:proofErr w:type="spellEnd"/>
        <w:r w:rsidRPr="003B6767">
          <w:rPr>
            <w:rStyle w:val="aa"/>
            <w:sz w:val="16"/>
            <w:szCs w:val="16"/>
          </w:rPr>
          <w:t>/</w:t>
        </w:r>
        <w:proofErr w:type="spellStart"/>
        <w:r w:rsidRPr="003B6767">
          <w:rPr>
            <w:rStyle w:val="aa"/>
            <w:sz w:val="16"/>
            <w:szCs w:val="16"/>
            <w:lang w:val="en-US"/>
          </w:rPr>
          <w:t>ru</w:t>
        </w:r>
        <w:proofErr w:type="spellEnd"/>
        <w:r w:rsidRPr="003B6767">
          <w:rPr>
            <w:rStyle w:val="aa"/>
            <w:sz w:val="16"/>
            <w:szCs w:val="16"/>
          </w:rPr>
          <w:t>/</w:t>
        </w:r>
        <w:r w:rsidRPr="003B6767">
          <w:rPr>
            <w:rStyle w:val="aa"/>
            <w:sz w:val="16"/>
            <w:szCs w:val="16"/>
            <w:lang w:val="en-US"/>
          </w:rPr>
          <w:t>investor</w:t>
        </w:r>
        <w:r w:rsidRPr="003B6767">
          <w:rPr>
            <w:rStyle w:val="aa"/>
            <w:sz w:val="16"/>
            <w:szCs w:val="16"/>
          </w:rPr>
          <w:t>_</w:t>
        </w:r>
        <w:r w:rsidRPr="003B6767">
          <w:rPr>
            <w:rStyle w:val="aa"/>
            <w:sz w:val="16"/>
            <w:szCs w:val="16"/>
            <w:lang w:val="en-US"/>
          </w:rPr>
          <w:t>relations</w:t>
        </w:r>
        <w:r w:rsidRPr="003B6767">
          <w:rPr>
            <w:rStyle w:val="aa"/>
            <w:sz w:val="16"/>
            <w:szCs w:val="16"/>
          </w:rPr>
          <w:t>/</w:t>
        </w:r>
        <w:proofErr w:type="spellStart"/>
        <w:r w:rsidRPr="003B6767">
          <w:rPr>
            <w:rStyle w:val="aa"/>
            <w:sz w:val="16"/>
            <w:szCs w:val="16"/>
            <w:lang w:val="en-US"/>
          </w:rPr>
          <w:t>rdr</w:t>
        </w:r>
        <w:proofErr w:type="spellEnd"/>
        <w:r w:rsidRPr="003B6767">
          <w:rPr>
            <w:rStyle w:val="aa"/>
            <w:sz w:val="16"/>
            <w:szCs w:val="16"/>
          </w:rPr>
          <w:t>/</w:t>
        </w:r>
        <w:proofErr w:type="spellStart"/>
        <w:r w:rsidRPr="003B6767">
          <w:rPr>
            <w:rStyle w:val="aa"/>
            <w:sz w:val="16"/>
            <w:szCs w:val="16"/>
            <w:lang w:val="en-US"/>
          </w:rPr>
          <w:t>rdr</w:t>
        </w:r>
        <w:proofErr w:type="spellEnd"/>
        <w:r w:rsidRPr="003B6767">
          <w:rPr>
            <w:rStyle w:val="aa"/>
            <w:sz w:val="16"/>
            <w:szCs w:val="16"/>
          </w:rPr>
          <w:t>_</w:t>
        </w:r>
        <w:proofErr w:type="spellStart"/>
        <w:r w:rsidRPr="003B6767">
          <w:rPr>
            <w:rStyle w:val="aa"/>
            <w:sz w:val="16"/>
            <w:szCs w:val="16"/>
            <w:lang w:val="en-US"/>
          </w:rPr>
          <w:t>rusal</w:t>
        </w:r>
        <w:proofErr w:type="spellEnd"/>
        <w:r w:rsidRPr="003B6767">
          <w:rPr>
            <w:rStyle w:val="aa"/>
            <w:sz w:val="16"/>
            <w:szCs w:val="16"/>
          </w:rPr>
          <w:t>/</w:t>
        </w:r>
      </w:hyperlink>
      <w:r w:rsidRPr="003B6767">
        <w:rPr>
          <w:sz w:val="16"/>
          <w:szCs w:val="16"/>
        </w:rPr>
        <w:t xml:space="preserve">, свободный. – </w:t>
      </w:r>
      <w:proofErr w:type="spellStart"/>
      <w:r w:rsidRPr="003B6767">
        <w:rPr>
          <w:sz w:val="16"/>
          <w:szCs w:val="16"/>
        </w:rPr>
        <w:t>Загл</w:t>
      </w:r>
      <w:proofErr w:type="spellEnd"/>
      <w:r w:rsidRPr="003B6767">
        <w:rPr>
          <w:sz w:val="16"/>
          <w:szCs w:val="16"/>
        </w:rPr>
        <w:t xml:space="preserve">. с экрана. </w:t>
      </w:r>
    </w:p>
  </w:footnote>
  <w:footnote w:id="9">
    <w:p w:rsidR="00E24259" w:rsidRPr="003B6767" w:rsidRDefault="00E24259" w:rsidP="00244F11">
      <w:pPr>
        <w:pStyle w:val="a7"/>
        <w:jc w:val="both"/>
        <w:rPr>
          <w:sz w:val="16"/>
          <w:szCs w:val="16"/>
        </w:rPr>
      </w:pPr>
      <w:r w:rsidRPr="003B6767">
        <w:rPr>
          <w:rStyle w:val="a9"/>
          <w:sz w:val="16"/>
          <w:szCs w:val="16"/>
        </w:rPr>
        <w:footnoteRef/>
      </w:r>
      <w:r w:rsidRPr="003B6767">
        <w:rPr>
          <w:sz w:val="16"/>
          <w:szCs w:val="16"/>
        </w:rPr>
        <w:t xml:space="preserve"> Федеральный закон от 26.12.1995 N 208-ФЗ "Об акционерных обществах" // Собрание законодательства РФ. – 1996. - N 1. - Ст. 1.</w:t>
      </w:r>
    </w:p>
  </w:footnote>
  <w:footnote w:id="10">
    <w:p w:rsidR="00E24259" w:rsidRPr="003B6767" w:rsidRDefault="00E24259" w:rsidP="00244F11">
      <w:pPr>
        <w:pStyle w:val="a7"/>
        <w:jc w:val="both"/>
        <w:rPr>
          <w:sz w:val="16"/>
          <w:szCs w:val="16"/>
        </w:rPr>
      </w:pPr>
      <w:r w:rsidRPr="003B6767">
        <w:rPr>
          <w:rStyle w:val="a9"/>
          <w:sz w:val="16"/>
          <w:szCs w:val="16"/>
        </w:rPr>
        <w:footnoteRef/>
      </w:r>
      <w:r w:rsidRPr="003B6767">
        <w:rPr>
          <w:sz w:val="16"/>
          <w:szCs w:val="16"/>
        </w:rPr>
        <w:t xml:space="preserve"> Федеральный закон от 29.12.2012 </w:t>
      </w:r>
      <w:r w:rsidRPr="003B6767">
        <w:rPr>
          <w:sz w:val="16"/>
          <w:szCs w:val="16"/>
          <w:lang w:val="en-US"/>
        </w:rPr>
        <w:t>N</w:t>
      </w:r>
      <w:r w:rsidRPr="003B6767">
        <w:rPr>
          <w:sz w:val="16"/>
          <w:szCs w:val="16"/>
        </w:rPr>
        <w:t xml:space="preserve"> 282-ФЗ "О внесении изменений в отдельные законодательные акты Российской Федерации и признании </w:t>
      </w:r>
      <w:proofErr w:type="gramStart"/>
      <w:r w:rsidRPr="003B6767">
        <w:rPr>
          <w:sz w:val="16"/>
          <w:szCs w:val="16"/>
        </w:rPr>
        <w:t>утратившими</w:t>
      </w:r>
      <w:proofErr w:type="gramEnd"/>
      <w:r w:rsidRPr="003B6767">
        <w:rPr>
          <w:sz w:val="16"/>
          <w:szCs w:val="16"/>
        </w:rPr>
        <w:t xml:space="preserve"> силу отдельных положений законодательных актов Российской Федерации" // Российская газета. - N 303. – 2012.</w:t>
      </w:r>
    </w:p>
  </w:footnote>
  <w:footnote w:id="11">
    <w:p w:rsidR="00E24259" w:rsidRPr="005F3815" w:rsidRDefault="00E24259" w:rsidP="00F44627">
      <w:pPr>
        <w:pStyle w:val="a7"/>
        <w:jc w:val="both"/>
        <w:rPr>
          <w:sz w:val="16"/>
          <w:szCs w:val="16"/>
        </w:rPr>
      </w:pPr>
      <w:r w:rsidRPr="005F3815">
        <w:rPr>
          <w:rStyle w:val="a9"/>
          <w:sz w:val="16"/>
          <w:szCs w:val="16"/>
        </w:rPr>
        <w:footnoteRef/>
      </w:r>
      <w:r w:rsidRPr="005F3815">
        <w:rPr>
          <w:sz w:val="16"/>
          <w:szCs w:val="16"/>
        </w:rPr>
        <w:t xml:space="preserve"> </w:t>
      </w:r>
      <w:r w:rsidRPr="00F44627">
        <w:rPr>
          <w:sz w:val="16"/>
          <w:szCs w:val="16"/>
        </w:rPr>
        <w:t xml:space="preserve">Приказ ФСФР России от 04.10.2011 </w:t>
      </w:r>
      <w:r w:rsidRPr="00F44627">
        <w:rPr>
          <w:sz w:val="16"/>
          <w:szCs w:val="16"/>
          <w:lang w:val="en-US"/>
        </w:rPr>
        <w:t>N</w:t>
      </w:r>
      <w:r w:rsidRPr="00F44627">
        <w:rPr>
          <w:sz w:val="16"/>
          <w:szCs w:val="16"/>
        </w:rPr>
        <w:t xml:space="preserve"> 11-46/</w:t>
      </w:r>
      <w:proofErr w:type="spellStart"/>
      <w:r w:rsidRPr="00F44627">
        <w:rPr>
          <w:sz w:val="16"/>
          <w:szCs w:val="16"/>
        </w:rPr>
        <w:t>пз-н</w:t>
      </w:r>
      <w:proofErr w:type="spellEnd"/>
      <w:r w:rsidRPr="00F44627">
        <w:rPr>
          <w:sz w:val="16"/>
          <w:szCs w:val="16"/>
        </w:rPr>
        <w:t xml:space="preserve"> "Об утверждении Положения о раскрытии информации эмитентами эмиссионных ценных бумаг" // Бюллетень нормативных актов федеральных органов исполнительной власти. - N 8. – 2012.</w:t>
      </w:r>
    </w:p>
  </w:footnote>
  <w:footnote w:id="12">
    <w:p w:rsidR="00E24259" w:rsidRPr="00ED4EDC" w:rsidRDefault="00E24259" w:rsidP="00ED4EDC">
      <w:pPr>
        <w:pStyle w:val="a7"/>
        <w:jc w:val="both"/>
        <w:rPr>
          <w:sz w:val="16"/>
          <w:szCs w:val="16"/>
        </w:rPr>
      </w:pPr>
      <w:r w:rsidRPr="00ED4EDC">
        <w:rPr>
          <w:rStyle w:val="a9"/>
          <w:sz w:val="16"/>
          <w:szCs w:val="16"/>
        </w:rPr>
        <w:footnoteRef/>
      </w:r>
      <w:r w:rsidRPr="00ED4EDC">
        <w:rPr>
          <w:sz w:val="16"/>
          <w:szCs w:val="16"/>
        </w:rPr>
        <w:t xml:space="preserve"> Приказ ФСФР РФ от 09.12.2010 </w:t>
      </w:r>
      <w:r w:rsidRPr="00ED4EDC">
        <w:rPr>
          <w:sz w:val="16"/>
          <w:szCs w:val="16"/>
          <w:lang w:val="en-US"/>
        </w:rPr>
        <w:t>N</w:t>
      </w:r>
      <w:r w:rsidRPr="00ED4EDC">
        <w:rPr>
          <w:sz w:val="16"/>
          <w:szCs w:val="16"/>
        </w:rPr>
        <w:t xml:space="preserve"> 10-75/</w:t>
      </w:r>
      <w:proofErr w:type="spellStart"/>
      <w:r w:rsidRPr="00ED4EDC">
        <w:rPr>
          <w:sz w:val="16"/>
          <w:szCs w:val="16"/>
        </w:rPr>
        <w:t>пз-н</w:t>
      </w:r>
      <w:proofErr w:type="spellEnd"/>
      <w:r w:rsidRPr="00ED4EDC">
        <w:rPr>
          <w:sz w:val="16"/>
          <w:szCs w:val="16"/>
        </w:rPr>
        <w:t xml:space="preserve"> "Об утверждении Порядка рассмотрения заявлений эмитентов, являющихся акционерными обществами, об освобождении их от обязанности осуществлять раскрытие или предоставление информации в соответствии со статьей 30 Федерального закона "О рынке ценных бумаг" // Бюллетень нормативных актов федеральных органов исполнительной власти. - N 7. – 2011.</w:t>
      </w:r>
    </w:p>
  </w:footnote>
  <w:footnote w:id="13">
    <w:p w:rsidR="00E24259" w:rsidRPr="00911290" w:rsidRDefault="00E24259" w:rsidP="00FC0536">
      <w:pPr>
        <w:pStyle w:val="a7"/>
        <w:jc w:val="both"/>
        <w:rPr>
          <w:sz w:val="16"/>
          <w:szCs w:val="16"/>
        </w:rPr>
      </w:pPr>
      <w:r w:rsidRPr="00911290">
        <w:rPr>
          <w:rStyle w:val="a9"/>
          <w:sz w:val="16"/>
          <w:szCs w:val="16"/>
        </w:rPr>
        <w:footnoteRef/>
      </w:r>
      <w:r w:rsidRPr="00911290">
        <w:rPr>
          <w:sz w:val="16"/>
          <w:szCs w:val="16"/>
        </w:rPr>
        <w:t xml:space="preserve"> Официальный сайт Комиссии по ценным бумагам и биржам США [Электронный ресурс]: </w:t>
      </w:r>
      <w:proofErr w:type="spellStart"/>
      <w:r w:rsidRPr="00911290">
        <w:rPr>
          <w:sz w:val="16"/>
          <w:szCs w:val="16"/>
        </w:rPr>
        <w:t>The</w:t>
      </w:r>
      <w:proofErr w:type="spellEnd"/>
      <w:r w:rsidRPr="00911290">
        <w:rPr>
          <w:sz w:val="16"/>
          <w:szCs w:val="16"/>
        </w:rPr>
        <w:t xml:space="preserve"> </w:t>
      </w:r>
      <w:proofErr w:type="spellStart"/>
      <w:r w:rsidRPr="00911290">
        <w:rPr>
          <w:sz w:val="16"/>
          <w:szCs w:val="16"/>
        </w:rPr>
        <w:t>Laws</w:t>
      </w:r>
      <w:proofErr w:type="spellEnd"/>
      <w:r w:rsidRPr="00911290">
        <w:rPr>
          <w:sz w:val="16"/>
          <w:szCs w:val="16"/>
        </w:rPr>
        <w:t xml:space="preserve"> </w:t>
      </w:r>
      <w:proofErr w:type="spellStart"/>
      <w:r w:rsidRPr="00911290">
        <w:rPr>
          <w:sz w:val="16"/>
          <w:szCs w:val="16"/>
        </w:rPr>
        <w:t>That</w:t>
      </w:r>
      <w:proofErr w:type="spellEnd"/>
      <w:r w:rsidRPr="00911290">
        <w:rPr>
          <w:sz w:val="16"/>
          <w:szCs w:val="16"/>
        </w:rPr>
        <w:t xml:space="preserve"> </w:t>
      </w:r>
      <w:proofErr w:type="spellStart"/>
      <w:r w:rsidRPr="00911290">
        <w:rPr>
          <w:sz w:val="16"/>
          <w:szCs w:val="16"/>
        </w:rPr>
        <w:t>Govern</w:t>
      </w:r>
      <w:proofErr w:type="spellEnd"/>
      <w:r w:rsidRPr="00911290">
        <w:rPr>
          <w:sz w:val="16"/>
          <w:szCs w:val="16"/>
        </w:rPr>
        <w:t xml:space="preserve"> </w:t>
      </w:r>
      <w:proofErr w:type="spellStart"/>
      <w:r w:rsidRPr="00911290">
        <w:rPr>
          <w:sz w:val="16"/>
          <w:szCs w:val="16"/>
        </w:rPr>
        <w:t>the</w:t>
      </w:r>
      <w:proofErr w:type="spellEnd"/>
      <w:r w:rsidRPr="00911290">
        <w:rPr>
          <w:sz w:val="16"/>
          <w:szCs w:val="16"/>
        </w:rPr>
        <w:t xml:space="preserve"> </w:t>
      </w:r>
      <w:proofErr w:type="spellStart"/>
      <w:r w:rsidRPr="00911290">
        <w:rPr>
          <w:sz w:val="16"/>
          <w:szCs w:val="16"/>
        </w:rPr>
        <w:t>Securities</w:t>
      </w:r>
      <w:proofErr w:type="spellEnd"/>
      <w:r w:rsidRPr="00911290">
        <w:rPr>
          <w:sz w:val="16"/>
          <w:szCs w:val="16"/>
        </w:rPr>
        <w:t xml:space="preserve"> </w:t>
      </w:r>
      <w:proofErr w:type="spellStart"/>
      <w:r w:rsidRPr="00911290">
        <w:rPr>
          <w:sz w:val="16"/>
          <w:szCs w:val="16"/>
        </w:rPr>
        <w:t>Industry</w:t>
      </w:r>
      <w:proofErr w:type="spellEnd"/>
      <w:r w:rsidRPr="00911290">
        <w:rPr>
          <w:sz w:val="16"/>
          <w:szCs w:val="16"/>
        </w:rPr>
        <w:t xml:space="preserve">. – Режим доступа: </w:t>
      </w:r>
      <w:hyperlink r:id="rId5" w:history="1">
        <w:r w:rsidRPr="00911290">
          <w:rPr>
            <w:rStyle w:val="aa"/>
            <w:sz w:val="16"/>
            <w:szCs w:val="16"/>
            <w:lang w:val="en-US"/>
          </w:rPr>
          <w:t>http</w:t>
        </w:r>
        <w:r w:rsidRPr="00911290">
          <w:rPr>
            <w:rStyle w:val="aa"/>
            <w:sz w:val="16"/>
            <w:szCs w:val="16"/>
          </w:rPr>
          <w:t>://</w:t>
        </w:r>
        <w:r w:rsidRPr="00911290">
          <w:rPr>
            <w:rStyle w:val="aa"/>
            <w:sz w:val="16"/>
            <w:szCs w:val="16"/>
            <w:lang w:val="en-US"/>
          </w:rPr>
          <w:t>www</w:t>
        </w:r>
        <w:r w:rsidRPr="00911290">
          <w:rPr>
            <w:rStyle w:val="aa"/>
            <w:sz w:val="16"/>
            <w:szCs w:val="16"/>
          </w:rPr>
          <w:t>.</w:t>
        </w:r>
        <w:r w:rsidRPr="00911290">
          <w:rPr>
            <w:rStyle w:val="aa"/>
            <w:sz w:val="16"/>
            <w:szCs w:val="16"/>
            <w:lang w:val="en-US"/>
          </w:rPr>
          <w:t>sec</w:t>
        </w:r>
        <w:r w:rsidRPr="00911290">
          <w:rPr>
            <w:rStyle w:val="aa"/>
            <w:sz w:val="16"/>
            <w:szCs w:val="16"/>
          </w:rPr>
          <w:t>.</w:t>
        </w:r>
        <w:proofErr w:type="spellStart"/>
        <w:r w:rsidRPr="00911290">
          <w:rPr>
            <w:rStyle w:val="aa"/>
            <w:sz w:val="16"/>
            <w:szCs w:val="16"/>
            <w:lang w:val="en-US"/>
          </w:rPr>
          <w:t>gov</w:t>
        </w:r>
        <w:proofErr w:type="spellEnd"/>
        <w:r w:rsidRPr="00911290">
          <w:rPr>
            <w:rStyle w:val="aa"/>
            <w:sz w:val="16"/>
            <w:szCs w:val="16"/>
          </w:rPr>
          <w:t>/</w:t>
        </w:r>
        <w:r w:rsidRPr="00911290">
          <w:rPr>
            <w:rStyle w:val="aa"/>
            <w:sz w:val="16"/>
            <w:szCs w:val="16"/>
            <w:lang w:val="en-US"/>
          </w:rPr>
          <w:t>about</w:t>
        </w:r>
        <w:r w:rsidRPr="00911290">
          <w:rPr>
            <w:rStyle w:val="aa"/>
            <w:sz w:val="16"/>
            <w:szCs w:val="16"/>
          </w:rPr>
          <w:t>/</w:t>
        </w:r>
        <w:r w:rsidRPr="00911290">
          <w:rPr>
            <w:rStyle w:val="aa"/>
            <w:sz w:val="16"/>
            <w:szCs w:val="16"/>
            <w:lang w:val="en-US"/>
          </w:rPr>
          <w:t>laws</w:t>
        </w:r>
        <w:r w:rsidRPr="00911290">
          <w:rPr>
            <w:rStyle w:val="aa"/>
            <w:sz w:val="16"/>
            <w:szCs w:val="16"/>
          </w:rPr>
          <w:t>.</w:t>
        </w:r>
        <w:proofErr w:type="spellStart"/>
        <w:r w:rsidRPr="00911290">
          <w:rPr>
            <w:rStyle w:val="aa"/>
            <w:sz w:val="16"/>
            <w:szCs w:val="16"/>
            <w:lang w:val="en-US"/>
          </w:rPr>
          <w:t>shtml</w:t>
        </w:r>
        <w:proofErr w:type="spellEnd"/>
      </w:hyperlink>
      <w:r w:rsidRPr="00911290">
        <w:rPr>
          <w:sz w:val="16"/>
          <w:szCs w:val="16"/>
        </w:rPr>
        <w:t xml:space="preserve">, свободный. – </w:t>
      </w:r>
      <w:proofErr w:type="spellStart"/>
      <w:r w:rsidRPr="00911290">
        <w:rPr>
          <w:sz w:val="16"/>
          <w:szCs w:val="16"/>
        </w:rPr>
        <w:t>Загл</w:t>
      </w:r>
      <w:proofErr w:type="spellEnd"/>
      <w:r w:rsidRPr="00911290">
        <w:rPr>
          <w:sz w:val="16"/>
          <w:szCs w:val="16"/>
        </w:rPr>
        <w:t xml:space="preserve">. с экрана. </w:t>
      </w:r>
    </w:p>
  </w:footnote>
  <w:footnote w:id="14">
    <w:p w:rsidR="00E24259" w:rsidRPr="00911290" w:rsidRDefault="00E24259" w:rsidP="006F4FBE">
      <w:pPr>
        <w:pStyle w:val="a7"/>
        <w:jc w:val="both"/>
        <w:rPr>
          <w:sz w:val="16"/>
          <w:szCs w:val="16"/>
          <w:lang w:val="en-US"/>
        </w:rPr>
      </w:pPr>
      <w:r w:rsidRPr="00911290">
        <w:rPr>
          <w:rStyle w:val="a9"/>
          <w:sz w:val="16"/>
          <w:szCs w:val="16"/>
        </w:rPr>
        <w:footnoteRef/>
      </w:r>
      <w:r w:rsidRPr="00911290">
        <w:rPr>
          <w:sz w:val="16"/>
          <w:szCs w:val="16"/>
          <w:lang w:val="en-US"/>
        </w:rPr>
        <w:t xml:space="preserve"> </w:t>
      </w:r>
      <w:r w:rsidRPr="00911290">
        <w:rPr>
          <w:sz w:val="16"/>
          <w:szCs w:val="16"/>
        </w:rPr>
        <w:t>Официальный</w:t>
      </w:r>
      <w:r w:rsidRPr="00911290">
        <w:rPr>
          <w:sz w:val="16"/>
          <w:szCs w:val="16"/>
          <w:lang w:val="en-US"/>
        </w:rPr>
        <w:t xml:space="preserve"> </w:t>
      </w:r>
      <w:r w:rsidRPr="00911290">
        <w:rPr>
          <w:sz w:val="16"/>
          <w:szCs w:val="16"/>
        </w:rPr>
        <w:t>сайт</w:t>
      </w:r>
      <w:r w:rsidRPr="00911290">
        <w:rPr>
          <w:sz w:val="16"/>
          <w:szCs w:val="16"/>
          <w:lang w:val="en-US"/>
        </w:rPr>
        <w:t xml:space="preserve"> </w:t>
      </w:r>
      <w:r w:rsidRPr="00911290">
        <w:rPr>
          <w:sz w:val="16"/>
          <w:szCs w:val="16"/>
        </w:rPr>
        <w:t>ОЭСР</w:t>
      </w:r>
      <w:r w:rsidRPr="00911290">
        <w:rPr>
          <w:sz w:val="16"/>
          <w:szCs w:val="16"/>
          <w:lang w:val="en-US"/>
        </w:rPr>
        <w:t xml:space="preserve"> [</w:t>
      </w:r>
      <w:r w:rsidRPr="00911290">
        <w:rPr>
          <w:sz w:val="16"/>
          <w:szCs w:val="16"/>
        </w:rPr>
        <w:t>Электронный</w:t>
      </w:r>
      <w:r w:rsidRPr="00911290">
        <w:rPr>
          <w:sz w:val="16"/>
          <w:szCs w:val="16"/>
          <w:lang w:val="en-US"/>
        </w:rPr>
        <w:t xml:space="preserve"> </w:t>
      </w:r>
      <w:r w:rsidRPr="00911290">
        <w:rPr>
          <w:sz w:val="16"/>
          <w:szCs w:val="16"/>
        </w:rPr>
        <w:t>ресурс</w:t>
      </w:r>
      <w:r w:rsidRPr="00911290">
        <w:rPr>
          <w:sz w:val="16"/>
          <w:szCs w:val="16"/>
          <w:lang w:val="en-US"/>
        </w:rPr>
        <w:t xml:space="preserve">]: The Third Meeting of the Russian Corporate Governance Roundtable THE ROLE OF DISCLOSURE IN STRENGTHNING </w:t>
      </w:r>
      <w:proofErr w:type="gramStart"/>
      <w:r w:rsidRPr="00911290">
        <w:rPr>
          <w:sz w:val="16"/>
          <w:szCs w:val="16"/>
          <w:lang w:val="en-US"/>
        </w:rPr>
        <w:t>COPRORATE</w:t>
      </w:r>
      <w:proofErr w:type="gramEnd"/>
      <w:r w:rsidRPr="00911290">
        <w:rPr>
          <w:sz w:val="16"/>
          <w:szCs w:val="16"/>
          <w:lang w:val="en-US"/>
        </w:rPr>
        <w:t xml:space="preserve"> GOVERNANCE AND ACCOUNTABILITY (Moscow, 15-16 November 2000) DISCLOSURE: A CORPORATE GOVERNANCE TOOL THAT REALLY WORKS? </w:t>
      </w:r>
      <w:proofErr w:type="gramStart"/>
      <w:r w:rsidRPr="00911290">
        <w:rPr>
          <w:sz w:val="16"/>
          <w:szCs w:val="16"/>
          <w:lang w:val="en-US"/>
        </w:rPr>
        <w:t xml:space="preserve">– </w:t>
      </w:r>
      <w:r w:rsidRPr="00911290">
        <w:rPr>
          <w:sz w:val="16"/>
          <w:szCs w:val="16"/>
        </w:rPr>
        <w:t>Режим</w:t>
      </w:r>
      <w:r w:rsidRPr="00911290">
        <w:rPr>
          <w:sz w:val="16"/>
          <w:szCs w:val="16"/>
          <w:lang w:val="en-US"/>
        </w:rPr>
        <w:t xml:space="preserve"> </w:t>
      </w:r>
      <w:r w:rsidRPr="00911290">
        <w:rPr>
          <w:sz w:val="16"/>
          <w:szCs w:val="16"/>
        </w:rPr>
        <w:t>доступа</w:t>
      </w:r>
      <w:r w:rsidRPr="00911290">
        <w:rPr>
          <w:sz w:val="16"/>
          <w:szCs w:val="16"/>
          <w:lang w:val="en-US"/>
        </w:rPr>
        <w:t xml:space="preserve">: </w:t>
      </w:r>
      <w:hyperlink r:id="rId6" w:history="1">
        <w:r w:rsidRPr="00911290">
          <w:rPr>
            <w:rStyle w:val="aa"/>
            <w:sz w:val="16"/>
            <w:szCs w:val="16"/>
            <w:lang w:val="en-US"/>
          </w:rPr>
          <w:t>http://www.oecd.org/daf/ca/corporategovernanceprinciples/32159669.pdf</w:t>
        </w:r>
      </w:hyperlink>
      <w:r w:rsidRPr="00911290">
        <w:rPr>
          <w:sz w:val="16"/>
          <w:szCs w:val="16"/>
          <w:lang w:val="en-US"/>
        </w:rPr>
        <w:t xml:space="preserve">, </w:t>
      </w:r>
      <w:r w:rsidRPr="00911290">
        <w:rPr>
          <w:sz w:val="16"/>
          <w:szCs w:val="16"/>
        </w:rPr>
        <w:t>свободный</w:t>
      </w:r>
      <w:r w:rsidRPr="00911290">
        <w:rPr>
          <w:sz w:val="16"/>
          <w:szCs w:val="16"/>
          <w:lang w:val="en-US"/>
        </w:rPr>
        <w:t>.</w:t>
      </w:r>
      <w:proofErr w:type="gramEnd"/>
      <w:r w:rsidRPr="00911290">
        <w:rPr>
          <w:sz w:val="16"/>
          <w:szCs w:val="16"/>
          <w:lang w:val="en-US"/>
        </w:rPr>
        <w:t xml:space="preserve"> </w:t>
      </w:r>
      <w:proofErr w:type="gramStart"/>
      <w:r w:rsidRPr="00911290">
        <w:rPr>
          <w:sz w:val="16"/>
          <w:szCs w:val="16"/>
          <w:lang w:val="en-US"/>
        </w:rPr>
        <w:t xml:space="preserve">– </w:t>
      </w:r>
      <w:proofErr w:type="spellStart"/>
      <w:r w:rsidRPr="00911290">
        <w:rPr>
          <w:sz w:val="16"/>
          <w:szCs w:val="16"/>
        </w:rPr>
        <w:t>Загл</w:t>
      </w:r>
      <w:proofErr w:type="spellEnd"/>
      <w:r w:rsidRPr="00911290">
        <w:rPr>
          <w:sz w:val="16"/>
          <w:szCs w:val="16"/>
          <w:lang w:val="en-US"/>
        </w:rPr>
        <w:t xml:space="preserve">. </w:t>
      </w:r>
      <w:r w:rsidRPr="00911290">
        <w:rPr>
          <w:sz w:val="16"/>
          <w:szCs w:val="16"/>
        </w:rPr>
        <w:t>с</w:t>
      </w:r>
      <w:r w:rsidRPr="00911290">
        <w:rPr>
          <w:sz w:val="16"/>
          <w:szCs w:val="16"/>
          <w:lang w:val="en-US"/>
        </w:rPr>
        <w:t xml:space="preserve"> </w:t>
      </w:r>
      <w:r w:rsidRPr="00911290">
        <w:rPr>
          <w:sz w:val="16"/>
          <w:szCs w:val="16"/>
        </w:rPr>
        <w:t>экрана</w:t>
      </w:r>
      <w:r w:rsidRPr="00911290">
        <w:rPr>
          <w:sz w:val="16"/>
          <w:szCs w:val="16"/>
          <w:lang w:val="en-US"/>
        </w:rPr>
        <w:t>.</w:t>
      </w:r>
      <w:proofErr w:type="gramEnd"/>
    </w:p>
  </w:footnote>
  <w:footnote w:id="15">
    <w:p w:rsidR="00E24259" w:rsidRPr="00911290" w:rsidRDefault="00E24259" w:rsidP="006F4FBE">
      <w:pPr>
        <w:pStyle w:val="a7"/>
        <w:jc w:val="both"/>
        <w:rPr>
          <w:sz w:val="16"/>
          <w:szCs w:val="16"/>
        </w:rPr>
      </w:pPr>
      <w:r w:rsidRPr="00911290">
        <w:rPr>
          <w:rStyle w:val="a9"/>
          <w:sz w:val="16"/>
          <w:szCs w:val="16"/>
        </w:rPr>
        <w:footnoteRef/>
      </w:r>
      <w:r w:rsidRPr="00911290">
        <w:rPr>
          <w:sz w:val="16"/>
          <w:szCs w:val="16"/>
        </w:rPr>
        <w:t xml:space="preserve"> Указ Президента РФ от 09.03.2004 </w:t>
      </w:r>
      <w:r w:rsidRPr="00911290">
        <w:rPr>
          <w:sz w:val="16"/>
          <w:szCs w:val="16"/>
          <w:lang w:val="en-US"/>
        </w:rPr>
        <w:t>N</w:t>
      </w:r>
      <w:r w:rsidRPr="00911290">
        <w:rPr>
          <w:sz w:val="16"/>
          <w:szCs w:val="16"/>
        </w:rPr>
        <w:t xml:space="preserve"> 314 "О системе и структуре федеральных органов исполнительной власти" // Российская газета. - N 50. - 2004.</w:t>
      </w:r>
    </w:p>
  </w:footnote>
  <w:footnote w:id="16">
    <w:p w:rsidR="00E24259" w:rsidRPr="00911290" w:rsidRDefault="00E24259" w:rsidP="006F4FBE">
      <w:pPr>
        <w:pStyle w:val="a7"/>
        <w:jc w:val="both"/>
        <w:rPr>
          <w:sz w:val="16"/>
          <w:szCs w:val="16"/>
        </w:rPr>
      </w:pPr>
      <w:r w:rsidRPr="00911290">
        <w:rPr>
          <w:rStyle w:val="a9"/>
          <w:sz w:val="16"/>
          <w:szCs w:val="16"/>
        </w:rPr>
        <w:footnoteRef/>
      </w:r>
      <w:r w:rsidRPr="00911290">
        <w:rPr>
          <w:sz w:val="16"/>
          <w:szCs w:val="16"/>
        </w:rPr>
        <w:t xml:space="preserve"> Указ Президента РФ от 01.07.1996 </w:t>
      </w:r>
      <w:r w:rsidRPr="00911290">
        <w:rPr>
          <w:sz w:val="16"/>
          <w:szCs w:val="16"/>
          <w:lang w:val="en-US"/>
        </w:rPr>
        <w:t>N</w:t>
      </w:r>
      <w:r w:rsidRPr="00911290">
        <w:rPr>
          <w:sz w:val="16"/>
          <w:szCs w:val="16"/>
        </w:rPr>
        <w:t xml:space="preserve"> 1009 "О Федеральной комиссии по рынку ценных бумаг" // Российская газета. - </w:t>
      </w:r>
      <w:proofErr w:type="gramStart"/>
      <w:r w:rsidRPr="00911290">
        <w:rPr>
          <w:sz w:val="16"/>
          <w:szCs w:val="16"/>
          <w:lang w:val="en-US"/>
        </w:rPr>
        <w:t>N</w:t>
      </w:r>
      <w:r w:rsidRPr="00911290">
        <w:rPr>
          <w:sz w:val="16"/>
          <w:szCs w:val="16"/>
        </w:rPr>
        <w:t xml:space="preserve"> 130.</w:t>
      </w:r>
      <w:proofErr w:type="gramEnd"/>
      <w:r w:rsidRPr="00911290">
        <w:rPr>
          <w:sz w:val="16"/>
          <w:szCs w:val="16"/>
        </w:rPr>
        <w:t xml:space="preserve"> – 1996.</w:t>
      </w:r>
    </w:p>
  </w:footnote>
  <w:footnote w:id="17">
    <w:p w:rsidR="00E24259" w:rsidRPr="00911290" w:rsidRDefault="00E24259" w:rsidP="006F4FBE">
      <w:pPr>
        <w:pStyle w:val="a7"/>
        <w:jc w:val="both"/>
        <w:rPr>
          <w:sz w:val="16"/>
          <w:szCs w:val="16"/>
        </w:rPr>
      </w:pPr>
      <w:r w:rsidRPr="00911290">
        <w:rPr>
          <w:rStyle w:val="a9"/>
          <w:sz w:val="16"/>
          <w:szCs w:val="16"/>
        </w:rPr>
        <w:footnoteRef/>
      </w:r>
      <w:r w:rsidRPr="00911290">
        <w:rPr>
          <w:sz w:val="16"/>
          <w:szCs w:val="16"/>
        </w:rPr>
        <w:t xml:space="preserve"> Указ Президента РФ от 04.11.1994 </w:t>
      </w:r>
      <w:r w:rsidRPr="00911290">
        <w:rPr>
          <w:sz w:val="16"/>
          <w:szCs w:val="16"/>
          <w:lang w:val="en-US"/>
        </w:rPr>
        <w:t>N</w:t>
      </w:r>
      <w:r w:rsidRPr="00911290">
        <w:rPr>
          <w:sz w:val="16"/>
          <w:szCs w:val="16"/>
        </w:rPr>
        <w:t xml:space="preserve"> 2063 "О мерах по государственному регулированию рынка ценных бумаг в Российской Федерации" // Собрание законодательства Российской Федерации. – 1994. - </w:t>
      </w:r>
      <w:proofErr w:type="gramStart"/>
      <w:r w:rsidRPr="00911290">
        <w:rPr>
          <w:sz w:val="16"/>
          <w:szCs w:val="16"/>
          <w:lang w:val="en-US"/>
        </w:rPr>
        <w:t>N</w:t>
      </w:r>
      <w:r w:rsidRPr="00911290">
        <w:rPr>
          <w:sz w:val="16"/>
          <w:szCs w:val="16"/>
        </w:rPr>
        <w:t xml:space="preserve"> 28.</w:t>
      </w:r>
      <w:proofErr w:type="gramEnd"/>
      <w:r w:rsidRPr="00911290">
        <w:rPr>
          <w:sz w:val="16"/>
          <w:szCs w:val="16"/>
        </w:rPr>
        <w:t xml:space="preserve"> - Ст. 2972.</w:t>
      </w:r>
    </w:p>
  </w:footnote>
  <w:footnote w:id="18">
    <w:p w:rsidR="00E24259" w:rsidRPr="00712E95" w:rsidRDefault="00E24259" w:rsidP="00390B04">
      <w:pPr>
        <w:pStyle w:val="a7"/>
        <w:jc w:val="both"/>
        <w:rPr>
          <w:sz w:val="16"/>
          <w:szCs w:val="16"/>
        </w:rPr>
      </w:pPr>
      <w:r w:rsidRPr="00712E95">
        <w:rPr>
          <w:rStyle w:val="a9"/>
          <w:sz w:val="16"/>
          <w:szCs w:val="16"/>
        </w:rPr>
        <w:footnoteRef/>
      </w:r>
      <w:r w:rsidRPr="00712E95">
        <w:rPr>
          <w:sz w:val="16"/>
          <w:szCs w:val="16"/>
        </w:rPr>
        <w:t xml:space="preserve"> Официальный сайт Комиссии по ценным бумагам и биржам США [Электронный ресурс]: </w:t>
      </w:r>
      <w:r w:rsidRPr="00712E95">
        <w:rPr>
          <w:sz w:val="16"/>
          <w:szCs w:val="16"/>
          <w:lang w:val="en-US"/>
        </w:rPr>
        <w:t>Organization</w:t>
      </w:r>
      <w:r w:rsidRPr="00712E95">
        <w:rPr>
          <w:sz w:val="16"/>
          <w:szCs w:val="16"/>
        </w:rPr>
        <w:t xml:space="preserve"> </w:t>
      </w:r>
      <w:r w:rsidRPr="00712E95">
        <w:rPr>
          <w:sz w:val="16"/>
          <w:szCs w:val="16"/>
          <w:lang w:val="en-US"/>
        </w:rPr>
        <w:t>of</w:t>
      </w:r>
      <w:r w:rsidRPr="00712E95">
        <w:rPr>
          <w:sz w:val="16"/>
          <w:szCs w:val="16"/>
        </w:rPr>
        <w:t xml:space="preserve"> </w:t>
      </w:r>
      <w:r w:rsidRPr="00712E95">
        <w:rPr>
          <w:sz w:val="16"/>
          <w:szCs w:val="16"/>
          <w:lang w:val="en-US"/>
        </w:rPr>
        <w:t>SEC</w:t>
      </w:r>
      <w:r w:rsidRPr="00712E95">
        <w:rPr>
          <w:sz w:val="16"/>
          <w:szCs w:val="16"/>
        </w:rPr>
        <w:t xml:space="preserve">. – Режим доступа: </w:t>
      </w:r>
      <w:hyperlink r:id="rId7" w:anchor="create" w:history="1">
        <w:r w:rsidRPr="00712E95">
          <w:rPr>
            <w:rStyle w:val="aa"/>
            <w:sz w:val="16"/>
            <w:szCs w:val="16"/>
            <w:lang w:val="en-US"/>
          </w:rPr>
          <w:t>http</w:t>
        </w:r>
        <w:r w:rsidRPr="00712E95">
          <w:rPr>
            <w:rStyle w:val="aa"/>
            <w:sz w:val="16"/>
            <w:szCs w:val="16"/>
          </w:rPr>
          <w:t>://</w:t>
        </w:r>
        <w:r w:rsidRPr="00712E95">
          <w:rPr>
            <w:rStyle w:val="aa"/>
            <w:sz w:val="16"/>
            <w:szCs w:val="16"/>
            <w:lang w:val="en-US"/>
          </w:rPr>
          <w:t>www</w:t>
        </w:r>
        <w:r w:rsidRPr="00712E95">
          <w:rPr>
            <w:rStyle w:val="aa"/>
            <w:sz w:val="16"/>
            <w:szCs w:val="16"/>
          </w:rPr>
          <w:t>.</w:t>
        </w:r>
        <w:r w:rsidRPr="00712E95">
          <w:rPr>
            <w:rStyle w:val="aa"/>
            <w:sz w:val="16"/>
            <w:szCs w:val="16"/>
            <w:lang w:val="en-US"/>
          </w:rPr>
          <w:t>sec</w:t>
        </w:r>
        <w:r w:rsidRPr="00712E95">
          <w:rPr>
            <w:rStyle w:val="aa"/>
            <w:sz w:val="16"/>
            <w:szCs w:val="16"/>
          </w:rPr>
          <w:t>.</w:t>
        </w:r>
        <w:proofErr w:type="spellStart"/>
        <w:r w:rsidRPr="00712E95">
          <w:rPr>
            <w:rStyle w:val="aa"/>
            <w:sz w:val="16"/>
            <w:szCs w:val="16"/>
            <w:lang w:val="en-US"/>
          </w:rPr>
          <w:t>gov</w:t>
        </w:r>
        <w:proofErr w:type="spellEnd"/>
        <w:r w:rsidRPr="00712E95">
          <w:rPr>
            <w:rStyle w:val="aa"/>
            <w:sz w:val="16"/>
            <w:szCs w:val="16"/>
          </w:rPr>
          <w:t>/</w:t>
        </w:r>
        <w:r w:rsidRPr="00712E95">
          <w:rPr>
            <w:rStyle w:val="aa"/>
            <w:sz w:val="16"/>
            <w:szCs w:val="16"/>
            <w:lang w:val="en-US"/>
          </w:rPr>
          <w:t>about</w:t>
        </w:r>
        <w:r w:rsidRPr="00712E95">
          <w:rPr>
            <w:rStyle w:val="aa"/>
            <w:sz w:val="16"/>
            <w:szCs w:val="16"/>
          </w:rPr>
          <w:t>/</w:t>
        </w:r>
        <w:proofErr w:type="spellStart"/>
        <w:r w:rsidRPr="00712E95">
          <w:rPr>
            <w:rStyle w:val="aa"/>
            <w:sz w:val="16"/>
            <w:szCs w:val="16"/>
            <w:lang w:val="en-US"/>
          </w:rPr>
          <w:t>whatwedo</w:t>
        </w:r>
        <w:proofErr w:type="spellEnd"/>
        <w:r w:rsidRPr="00712E95">
          <w:rPr>
            <w:rStyle w:val="aa"/>
            <w:sz w:val="16"/>
            <w:szCs w:val="16"/>
          </w:rPr>
          <w:t>.</w:t>
        </w:r>
        <w:proofErr w:type="spellStart"/>
        <w:r w:rsidRPr="00712E95">
          <w:rPr>
            <w:rStyle w:val="aa"/>
            <w:sz w:val="16"/>
            <w:szCs w:val="16"/>
            <w:lang w:val="en-US"/>
          </w:rPr>
          <w:t>shtml</w:t>
        </w:r>
        <w:proofErr w:type="spellEnd"/>
        <w:r w:rsidRPr="00712E95">
          <w:rPr>
            <w:rStyle w:val="aa"/>
            <w:sz w:val="16"/>
            <w:szCs w:val="16"/>
          </w:rPr>
          <w:t>#</w:t>
        </w:r>
        <w:r w:rsidRPr="00712E95">
          <w:rPr>
            <w:rStyle w:val="aa"/>
            <w:sz w:val="16"/>
            <w:szCs w:val="16"/>
            <w:lang w:val="en-US"/>
          </w:rPr>
          <w:t>create</w:t>
        </w:r>
      </w:hyperlink>
      <w:r w:rsidRPr="00712E95">
        <w:rPr>
          <w:sz w:val="16"/>
          <w:szCs w:val="16"/>
        </w:rPr>
        <w:t xml:space="preserve">, свободный. – </w:t>
      </w:r>
      <w:proofErr w:type="spellStart"/>
      <w:r w:rsidRPr="00712E95">
        <w:rPr>
          <w:sz w:val="16"/>
          <w:szCs w:val="16"/>
        </w:rPr>
        <w:t>Загл</w:t>
      </w:r>
      <w:proofErr w:type="spellEnd"/>
      <w:r w:rsidRPr="00712E95">
        <w:rPr>
          <w:sz w:val="16"/>
          <w:szCs w:val="16"/>
        </w:rPr>
        <w:t xml:space="preserve">. с экрана. </w:t>
      </w:r>
    </w:p>
  </w:footnote>
  <w:footnote w:id="19">
    <w:p w:rsidR="00E24259" w:rsidRPr="00712E95" w:rsidRDefault="00E24259" w:rsidP="00390B04">
      <w:pPr>
        <w:pStyle w:val="a7"/>
        <w:jc w:val="both"/>
        <w:rPr>
          <w:sz w:val="16"/>
          <w:szCs w:val="16"/>
        </w:rPr>
      </w:pPr>
      <w:r w:rsidRPr="00712E95">
        <w:rPr>
          <w:rStyle w:val="a9"/>
          <w:sz w:val="16"/>
          <w:szCs w:val="16"/>
        </w:rPr>
        <w:footnoteRef/>
      </w:r>
      <w:r w:rsidRPr="00712E95">
        <w:rPr>
          <w:sz w:val="16"/>
          <w:szCs w:val="16"/>
        </w:rPr>
        <w:t xml:space="preserve"> Официальный сайт Федеральной службы по финансовым рынкам России [Электронный ресурс]: Структура ФСФР России. – Режим доступа: </w:t>
      </w:r>
      <w:hyperlink r:id="rId8" w:history="1">
        <w:r w:rsidRPr="00712E95">
          <w:rPr>
            <w:rStyle w:val="aa"/>
            <w:sz w:val="16"/>
            <w:szCs w:val="16"/>
            <w:lang w:val="en-US"/>
          </w:rPr>
          <w:t>http</w:t>
        </w:r>
        <w:r w:rsidRPr="00712E95">
          <w:rPr>
            <w:rStyle w:val="aa"/>
            <w:sz w:val="16"/>
            <w:szCs w:val="16"/>
          </w:rPr>
          <w:t>://</w:t>
        </w:r>
        <w:r w:rsidRPr="00712E95">
          <w:rPr>
            <w:rStyle w:val="aa"/>
            <w:sz w:val="16"/>
            <w:szCs w:val="16"/>
            <w:lang w:val="en-US"/>
          </w:rPr>
          <w:t>www</w:t>
        </w:r>
        <w:r w:rsidRPr="00712E95">
          <w:rPr>
            <w:rStyle w:val="aa"/>
            <w:sz w:val="16"/>
            <w:szCs w:val="16"/>
          </w:rPr>
          <w:t>.</w:t>
        </w:r>
        <w:proofErr w:type="spellStart"/>
        <w:r w:rsidRPr="00712E95">
          <w:rPr>
            <w:rStyle w:val="aa"/>
            <w:sz w:val="16"/>
            <w:szCs w:val="16"/>
            <w:lang w:val="en-US"/>
          </w:rPr>
          <w:t>fcsm</w:t>
        </w:r>
        <w:proofErr w:type="spellEnd"/>
        <w:r w:rsidRPr="00712E95">
          <w:rPr>
            <w:rStyle w:val="aa"/>
            <w:sz w:val="16"/>
            <w:szCs w:val="16"/>
          </w:rPr>
          <w:t>.</w:t>
        </w:r>
        <w:proofErr w:type="spellStart"/>
        <w:r w:rsidRPr="00712E95">
          <w:rPr>
            <w:rStyle w:val="aa"/>
            <w:sz w:val="16"/>
            <w:szCs w:val="16"/>
            <w:lang w:val="en-US"/>
          </w:rPr>
          <w:t>ru</w:t>
        </w:r>
        <w:proofErr w:type="spellEnd"/>
        <w:r w:rsidRPr="00712E95">
          <w:rPr>
            <w:rStyle w:val="aa"/>
            <w:sz w:val="16"/>
            <w:szCs w:val="16"/>
          </w:rPr>
          <w:t>/</w:t>
        </w:r>
        <w:proofErr w:type="spellStart"/>
        <w:r w:rsidRPr="00712E95">
          <w:rPr>
            <w:rStyle w:val="aa"/>
            <w:sz w:val="16"/>
            <w:szCs w:val="16"/>
            <w:lang w:val="en-US"/>
          </w:rPr>
          <w:t>ru</w:t>
        </w:r>
        <w:proofErr w:type="spellEnd"/>
        <w:r w:rsidRPr="00712E95">
          <w:rPr>
            <w:rStyle w:val="aa"/>
            <w:sz w:val="16"/>
            <w:szCs w:val="16"/>
          </w:rPr>
          <w:t>/</w:t>
        </w:r>
        <w:r w:rsidRPr="00712E95">
          <w:rPr>
            <w:rStyle w:val="aa"/>
            <w:sz w:val="16"/>
            <w:szCs w:val="16"/>
            <w:lang w:val="en-US"/>
          </w:rPr>
          <w:t>about</w:t>
        </w:r>
        <w:r w:rsidRPr="00712E95">
          <w:rPr>
            <w:rStyle w:val="aa"/>
            <w:sz w:val="16"/>
            <w:szCs w:val="16"/>
          </w:rPr>
          <w:t>/</w:t>
        </w:r>
        <w:r w:rsidRPr="00712E95">
          <w:rPr>
            <w:rStyle w:val="aa"/>
            <w:sz w:val="16"/>
            <w:szCs w:val="16"/>
            <w:lang w:val="en-US"/>
          </w:rPr>
          <w:t>structure</w:t>
        </w:r>
        <w:r w:rsidRPr="00712E95">
          <w:rPr>
            <w:rStyle w:val="aa"/>
            <w:sz w:val="16"/>
            <w:szCs w:val="16"/>
          </w:rPr>
          <w:t>/</w:t>
        </w:r>
      </w:hyperlink>
      <w:r w:rsidRPr="00712E95">
        <w:rPr>
          <w:sz w:val="16"/>
          <w:szCs w:val="16"/>
        </w:rPr>
        <w:t xml:space="preserve">, свободный. – </w:t>
      </w:r>
      <w:proofErr w:type="spellStart"/>
      <w:r w:rsidRPr="00712E95">
        <w:rPr>
          <w:sz w:val="16"/>
          <w:szCs w:val="16"/>
        </w:rPr>
        <w:t>Загл</w:t>
      </w:r>
      <w:proofErr w:type="spellEnd"/>
      <w:r w:rsidRPr="00712E95">
        <w:rPr>
          <w:sz w:val="16"/>
          <w:szCs w:val="16"/>
        </w:rPr>
        <w:t xml:space="preserve">. с экрана.  </w:t>
      </w:r>
    </w:p>
  </w:footnote>
  <w:footnote w:id="20">
    <w:p w:rsidR="00E24259" w:rsidRPr="00712E95" w:rsidRDefault="00E24259" w:rsidP="00390B04">
      <w:pPr>
        <w:pStyle w:val="a7"/>
        <w:jc w:val="both"/>
        <w:rPr>
          <w:sz w:val="16"/>
          <w:szCs w:val="16"/>
        </w:rPr>
      </w:pPr>
      <w:r w:rsidRPr="00712E95">
        <w:rPr>
          <w:rStyle w:val="a9"/>
          <w:sz w:val="16"/>
          <w:szCs w:val="16"/>
        </w:rPr>
        <w:footnoteRef/>
      </w:r>
      <w:r w:rsidRPr="00712E95">
        <w:rPr>
          <w:sz w:val="16"/>
          <w:szCs w:val="16"/>
        </w:rPr>
        <w:t xml:space="preserve"> Официальный сайт газеты «Коммерсант» [Электронный ресурс]: №186 (4727), 05.10.2011. – Режим доступа: </w:t>
      </w:r>
      <w:hyperlink r:id="rId9" w:history="1">
        <w:r w:rsidRPr="00712E95">
          <w:rPr>
            <w:rStyle w:val="aa"/>
            <w:sz w:val="16"/>
            <w:szCs w:val="16"/>
            <w:lang w:val="en-US"/>
          </w:rPr>
          <w:t>http</w:t>
        </w:r>
        <w:r w:rsidRPr="00712E95">
          <w:rPr>
            <w:rStyle w:val="aa"/>
            <w:sz w:val="16"/>
            <w:szCs w:val="16"/>
          </w:rPr>
          <w:t>://</w:t>
        </w:r>
        <w:r w:rsidRPr="00712E95">
          <w:rPr>
            <w:rStyle w:val="aa"/>
            <w:sz w:val="16"/>
            <w:szCs w:val="16"/>
            <w:lang w:val="en-US"/>
          </w:rPr>
          <w:t>www</w:t>
        </w:r>
        <w:r w:rsidRPr="00712E95">
          <w:rPr>
            <w:rStyle w:val="aa"/>
            <w:sz w:val="16"/>
            <w:szCs w:val="16"/>
          </w:rPr>
          <w:t>.</w:t>
        </w:r>
        <w:proofErr w:type="spellStart"/>
        <w:r w:rsidRPr="00712E95">
          <w:rPr>
            <w:rStyle w:val="aa"/>
            <w:sz w:val="16"/>
            <w:szCs w:val="16"/>
            <w:lang w:val="en-US"/>
          </w:rPr>
          <w:t>kommersant</w:t>
        </w:r>
        <w:proofErr w:type="spellEnd"/>
        <w:r w:rsidRPr="00712E95">
          <w:rPr>
            <w:rStyle w:val="aa"/>
            <w:sz w:val="16"/>
            <w:szCs w:val="16"/>
          </w:rPr>
          <w:t>.</w:t>
        </w:r>
        <w:proofErr w:type="spellStart"/>
        <w:r w:rsidRPr="00712E95">
          <w:rPr>
            <w:rStyle w:val="aa"/>
            <w:sz w:val="16"/>
            <w:szCs w:val="16"/>
            <w:lang w:val="en-US"/>
          </w:rPr>
          <w:t>ru</w:t>
        </w:r>
        <w:proofErr w:type="spellEnd"/>
        <w:r w:rsidRPr="00712E95">
          <w:rPr>
            <w:rStyle w:val="aa"/>
            <w:sz w:val="16"/>
            <w:szCs w:val="16"/>
          </w:rPr>
          <w:t>/</w:t>
        </w:r>
        <w:r w:rsidRPr="00712E95">
          <w:rPr>
            <w:rStyle w:val="aa"/>
            <w:sz w:val="16"/>
            <w:szCs w:val="16"/>
            <w:lang w:val="en-US"/>
          </w:rPr>
          <w:t>doc</w:t>
        </w:r>
        <w:r w:rsidRPr="00712E95">
          <w:rPr>
            <w:rStyle w:val="aa"/>
            <w:sz w:val="16"/>
            <w:szCs w:val="16"/>
          </w:rPr>
          <w:t>/1787924</w:t>
        </w:r>
      </w:hyperlink>
      <w:r w:rsidRPr="00712E95">
        <w:rPr>
          <w:rStyle w:val="aa"/>
          <w:sz w:val="16"/>
          <w:szCs w:val="16"/>
        </w:rPr>
        <w:t xml:space="preserve">, </w:t>
      </w:r>
      <w:r w:rsidRPr="00712E95">
        <w:rPr>
          <w:sz w:val="16"/>
          <w:szCs w:val="16"/>
        </w:rPr>
        <w:t xml:space="preserve">свободный. – </w:t>
      </w:r>
      <w:proofErr w:type="spellStart"/>
      <w:r w:rsidRPr="00712E95">
        <w:rPr>
          <w:sz w:val="16"/>
          <w:szCs w:val="16"/>
        </w:rPr>
        <w:t>Загл</w:t>
      </w:r>
      <w:proofErr w:type="spellEnd"/>
      <w:r w:rsidRPr="00712E95">
        <w:rPr>
          <w:sz w:val="16"/>
          <w:szCs w:val="16"/>
        </w:rPr>
        <w:t xml:space="preserve">. с экрана.   </w:t>
      </w:r>
    </w:p>
  </w:footnote>
  <w:footnote w:id="21">
    <w:p w:rsidR="00E24259" w:rsidRPr="00520962" w:rsidRDefault="00E24259" w:rsidP="00520962">
      <w:pPr>
        <w:pStyle w:val="a7"/>
        <w:jc w:val="both"/>
        <w:rPr>
          <w:sz w:val="16"/>
          <w:szCs w:val="16"/>
        </w:rPr>
      </w:pPr>
      <w:r w:rsidRPr="00520962">
        <w:rPr>
          <w:rStyle w:val="a9"/>
          <w:sz w:val="16"/>
          <w:szCs w:val="16"/>
        </w:rPr>
        <w:footnoteRef/>
      </w:r>
      <w:r w:rsidRPr="00520962">
        <w:rPr>
          <w:sz w:val="16"/>
          <w:szCs w:val="16"/>
        </w:rPr>
        <w:t xml:space="preserve"> Официальный сайт </w:t>
      </w:r>
      <w:proofErr w:type="spellStart"/>
      <w:r w:rsidRPr="00520962">
        <w:rPr>
          <w:sz w:val="16"/>
          <w:szCs w:val="16"/>
        </w:rPr>
        <w:t>РосБизнесКонсалтинг</w:t>
      </w:r>
      <w:proofErr w:type="spellEnd"/>
      <w:r w:rsidRPr="00520962">
        <w:rPr>
          <w:sz w:val="16"/>
          <w:szCs w:val="16"/>
        </w:rPr>
        <w:t xml:space="preserve"> [Электронный ресурс]: </w:t>
      </w:r>
      <w:proofErr w:type="spellStart"/>
      <w:r w:rsidRPr="00520962">
        <w:rPr>
          <w:sz w:val="16"/>
          <w:szCs w:val="16"/>
        </w:rPr>
        <w:t>Мегарегулятор</w:t>
      </w:r>
      <w:proofErr w:type="spellEnd"/>
      <w:r w:rsidRPr="00520962">
        <w:rPr>
          <w:sz w:val="16"/>
          <w:szCs w:val="16"/>
        </w:rPr>
        <w:t xml:space="preserve"> готов: Центробанк поглощает ФСФР. – Режим доступа: </w:t>
      </w:r>
      <w:hyperlink r:id="rId10" w:history="1">
        <w:r w:rsidRPr="00520962">
          <w:rPr>
            <w:rStyle w:val="aa"/>
            <w:sz w:val="16"/>
            <w:szCs w:val="16"/>
            <w:lang w:val="en-US"/>
          </w:rPr>
          <w:t>http</w:t>
        </w:r>
        <w:r w:rsidRPr="00520962">
          <w:rPr>
            <w:rStyle w:val="aa"/>
            <w:sz w:val="16"/>
            <w:szCs w:val="16"/>
          </w:rPr>
          <w:t>://</w:t>
        </w:r>
        <w:r w:rsidRPr="00520962">
          <w:rPr>
            <w:rStyle w:val="aa"/>
            <w:sz w:val="16"/>
            <w:szCs w:val="16"/>
            <w:lang w:val="en-US"/>
          </w:rPr>
          <w:t>top</w:t>
        </w:r>
        <w:r w:rsidRPr="00520962">
          <w:rPr>
            <w:rStyle w:val="aa"/>
            <w:sz w:val="16"/>
            <w:szCs w:val="16"/>
          </w:rPr>
          <w:t>.</w:t>
        </w:r>
        <w:proofErr w:type="spellStart"/>
        <w:r w:rsidRPr="00520962">
          <w:rPr>
            <w:rStyle w:val="aa"/>
            <w:sz w:val="16"/>
            <w:szCs w:val="16"/>
            <w:lang w:val="en-US"/>
          </w:rPr>
          <w:t>rbc</w:t>
        </w:r>
        <w:proofErr w:type="spellEnd"/>
        <w:r w:rsidRPr="00520962">
          <w:rPr>
            <w:rStyle w:val="aa"/>
            <w:sz w:val="16"/>
            <w:szCs w:val="16"/>
          </w:rPr>
          <w:t>.</w:t>
        </w:r>
        <w:proofErr w:type="spellStart"/>
        <w:r w:rsidRPr="00520962">
          <w:rPr>
            <w:rStyle w:val="aa"/>
            <w:sz w:val="16"/>
            <w:szCs w:val="16"/>
            <w:lang w:val="en-US"/>
          </w:rPr>
          <w:t>ru</w:t>
        </w:r>
        <w:proofErr w:type="spellEnd"/>
        <w:r w:rsidRPr="00520962">
          <w:rPr>
            <w:rStyle w:val="aa"/>
            <w:sz w:val="16"/>
            <w:szCs w:val="16"/>
          </w:rPr>
          <w:t>/</w:t>
        </w:r>
        <w:r w:rsidRPr="00520962">
          <w:rPr>
            <w:rStyle w:val="aa"/>
            <w:sz w:val="16"/>
            <w:szCs w:val="16"/>
            <w:lang w:val="en-US"/>
          </w:rPr>
          <w:t>economics</w:t>
        </w:r>
        <w:r w:rsidRPr="00520962">
          <w:rPr>
            <w:rStyle w:val="aa"/>
            <w:sz w:val="16"/>
            <w:szCs w:val="16"/>
          </w:rPr>
          <w:t>/14/12/2012/836648.</w:t>
        </w:r>
        <w:proofErr w:type="spellStart"/>
        <w:r w:rsidRPr="00520962">
          <w:rPr>
            <w:rStyle w:val="aa"/>
            <w:sz w:val="16"/>
            <w:szCs w:val="16"/>
            <w:lang w:val="en-US"/>
          </w:rPr>
          <w:t>shtml</w:t>
        </w:r>
        <w:proofErr w:type="spellEnd"/>
      </w:hyperlink>
      <w:r w:rsidRPr="00520962">
        <w:rPr>
          <w:rStyle w:val="aa"/>
          <w:sz w:val="16"/>
          <w:szCs w:val="16"/>
        </w:rPr>
        <w:t>,</w:t>
      </w:r>
      <w:r w:rsidRPr="00520962">
        <w:rPr>
          <w:sz w:val="16"/>
          <w:szCs w:val="16"/>
        </w:rPr>
        <w:t xml:space="preserve"> свободный. – </w:t>
      </w:r>
      <w:proofErr w:type="spellStart"/>
      <w:r w:rsidRPr="00520962">
        <w:rPr>
          <w:sz w:val="16"/>
          <w:szCs w:val="16"/>
        </w:rPr>
        <w:t>Загл</w:t>
      </w:r>
      <w:proofErr w:type="spellEnd"/>
      <w:r w:rsidRPr="00520962">
        <w:rPr>
          <w:sz w:val="16"/>
          <w:szCs w:val="16"/>
        </w:rPr>
        <w:t>. с экрана.</w:t>
      </w:r>
    </w:p>
  </w:footnote>
  <w:footnote w:id="22">
    <w:p w:rsidR="00E24259" w:rsidRPr="00520962" w:rsidRDefault="00E24259" w:rsidP="00520962">
      <w:pPr>
        <w:pStyle w:val="a7"/>
        <w:jc w:val="both"/>
        <w:rPr>
          <w:sz w:val="16"/>
          <w:szCs w:val="16"/>
        </w:rPr>
      </w:pPr>
      <w:r w:rsidRPr="00520962">
        <w:rPr>
          <w:rStyle w:val="a9"/>
          <w:sz w:val="16"/>
          <w:szCs w:val="16"/>
        </w:rPr>
        <w:footnoteRef/>
      </w:r>
      <w:r w:rsidRPr="00520962">
        <w:rPr>
          <w:sz w:val="16"/>
          <w:szCs w:val="16"/>
        </w:rPr>
        <w:t xml:space="preserve"> Официальный сайт Российской газеты [Электронный ресурс]</w:t>
      </w:r>
      <w:proofErr w:type="gramStart"/>
      <w:r w:rsidRPr="00520962">
        <w:rPr>
          <w:sz w:val="16"/>
          <w:szCs w:val="16"/>
        </w:rPr>
        <w:t>:П</w:t>
      </w:r>
      <w:proofErr w:type="gramEnd"/>
      <w:r w:rsidRPr="00520962">
        <w:rPr>
          <w:sz w:val="16"/>
          <w:szCs w:val="16"/>
        </w:rPr>
        <w:t xml:space="preserve">о состоянию на 30 апреля 2013 года Правительство РФ одобрило законопроект о передаче Центробанку полномочий ФСФР. – Режим доступа: </w:t>
      </w:r>
      <w:hyperlink r:id="rId11" w:history="1">
        <w:r w:rsidRPr="00520962">
          <w:rPr>
            <w:rStyle w:val="aa"/>
            <w:sz w:val="16"/>
            <w:szCs w:val="16"/>
          </w:rPr>
          <w:t>http://www.rg.ru/2013/04/30/peredacha-anons.html</w:t>
        </w:r>
      </w:hyperlink>
      <w:r w:rsidRPr="00520962">
        <w:rPr>
          <w:sz w:val="16"/>
          <w:szCs w:val="16"/>
        </w:rPr>
        <w:t xml:space="preserve">, свободный. – </w:t>
      </w:r>
      <w:proofErr w:type="spellStart"/>
      <w:r w:rsidRPr="00520962">
        <w:rPr>
          <w:sz w:val="16"/>
          <w:szCs w:val="16"/>
        </w:rPr>
        <w:t>Загл</w:t>
      </w:r>
      <w:proofErr w:type="spellEnd"/>
      <w:r w:rsidRPr="00520962">
        <w:rPr>
          <w:sz w:val="16"/>
          <w:szCs w:val="16"/>
        </w:rPr>
        <w:t>. с экрана.</w:t>
      </w:r>
    </w:p>
  </w:footnote>
  <w:footnote w:id="23">
    <w:p w:rsidR="00E24259" w:rsidRPr="00C624C7" w:rsidRDefault="00E24259" w:rsidP="00F751AC">
      <w:pPr>
        <w:pStyle w:val="a7"/>
        <w:jc w:val="both"/>
        <w:rPr>
          <w:sz w:val="16"/>
          <w:szCs w:val="16"/>
        </w:rPr>
      </w:pPr>
      <w:r w:rsidRPr="00C624C7">
        <w:rPr>
          <w:rStyle w:val="a9"/>
          <w:sz w:val="16"/>
          <w:szCs w:val="16"/>
        </w:rPr>
        <w:footnoteRef/>
      </w:r>
      <w:r w:rsidRPr="00C624C7">
        <w:rPr>
          <w:sz w:val="16"/>
          <w:szCs w:val="16"/>
        </w:rPr>
        <w:t xml:space="preserve"> Федеральный закон </w:t>
      </w:r>
      <w:r w:rsidRPr="00F751AC">
        <w:rPr>
          <w:sz w:val="16"/>
          <w:szCs w:val="16"/>
        </w:rPr>
        <w:t>«Об обществах с ограниченной ответственностью»</w:t>
      </w:r>
      <w:r>
        <w:rPr>
          <w:sz w:val="16"/>
          <w:szCs w:val="16"/>
        </w:rPr>
        <w:t xml:space="preserve"> </w:t>
      </w:r>
      <w:r w:rsidRPr="00C624C7">
        <w:rPr>
          <w:sz w:val="16"/>
          <w:szCs w:val="16"/>
        </w:rPr>
        <w:t xml:space="preserve">от 08.02.1998 </w:t>
      </w:r>
      <w:r w:rsidRPr="00C624C7">
        <w:rPr>
          <w:sz w:val="16"/>
          <w:szCs w:val="16"/>
          <w:lang w:val="en-US"/>
        </w:rPr>
        <w:t>N</w:t>
      </w:r>
      <w:r w:rsidRPr="00C624C7">
        <w:rPr>
          <w:sz w:val="16"/>
          <w:szCs w:val="16"/>
        </w:rPr>
        <w:t xml:space="preserve"> 14-ФЗ // Российская газета. - N 30. - 1998.</w:t>
      </w:r>
    </w:p>
  </w:footnote>
  <w:footnote w:id="24">
    <w:p w:rsidR="00E24259" w:rsidRPr="00C624C7" w:rsidRDefault="00E24259" w:rsidP="00F751AC">
      <w:pPr>
        <w:pStyle w:val="a7"/>
        <w:jc w:val="both"/>
        <w:rPr>
          <w:sz w:val="16"/>
        </w:rPr>
      </w:pPr>
      <w:r w:rsidRPr="00C624C7">
        <w:rPr>
          <w:rStyle w:val="a9"/>
          <w:sz w:val="16"/>
        </w:rPr>
        <w:footnoteRef/>
      </w:r>
      <w:r w:rsidRPr="00C624C7">
        <w:rPr>
          <w:sz w:val="16"/>
        </w:rPr>
        <w:t xml:space="preserve"> Федеральный закон от 05.03.1999 </w:t>
      </w:r>
      <w:r w:rsidRPr="00C624C7">
        <w:rPr>
          <w:sz w:val="16"/>
          <w:lang w:val="en-US"/>
        </w:rPr>
        <w:t>N</w:t>
      </w:r>
      <w:r w:rsidRPr="00C624C7">
        <w:rPr>
          <w:sz w:val="16"/>
        </w:rPr>
        <w:t xml:space="preserve"> 46-ФЗ "О защите прав и законных интересов инвесторов на рынке ценных бумаг" // Российская газета. - N 46. - 1999.</w:t>
      </w:r>
    </w:p>
  </w:footnote>
  <w:footnote w:id="25">
    <w:p w:rsidR="00E24259" w:rsidRPr="00817546" w:rsidRDefault="00E24259" w:rsidP="00F751AC">
      <w:pPr>
        <w:pStyle w:val="a7"/>
        <w:jc w:val="both"/>
        <w:rPr>
          <w:rStyle w:val="a9"/>
          <w:sz w:val="16"/>
          <w:vertAlign w:val="baseline"/>
        </w:rPr>
      </w:pPr>
      <w:r w:rsidRPr="00817546">
        <w:rPr>
          <w:rStyle w:val="a9"/>
          <w:sz w:val="16"/>
          <w:szCs w:val="16"/>
        </w:rPr>
        <w:footnoteRef/>
      </w:r>
      <w:r w:rsidRPr="00817546">
        <w:rPr>
          <w:rStyle w:val="a9"/>
          <w:sz w:val="16"/>
          <w:szCs w:val="16"/>
        </w:rPr>
        <w:t xml:space="preserve"> </w:t>
      </w:r>
      <w:r w:rsidRPr="00817546">
        <w:rPr>
          <w:rStyle w:val="a9"/>
          <w:sz w:val="16"/>
          <w:vertAlign w:val="baseline"/>
        </w:rPr>
        <w:t>"Кодекс Российской Федерации об административных правонарушениях" от 30.12.2001 N 195-ФЗ // Российская газета. - N 256. – 2001.</w:t>
      </w:r>
    </w:p>
  </w:footnote>
  <w:footnote w:id="26">
    <w:p w:rsidR="00E24259" w:rsidRPr="008A1381" w:rsidRDefault="00E24259" w:rsidP="00F751AC">
      <w:pPr>
        <w:pStyle w:val="a7"/>
        <w:jc w:val="both"/>
        <w:rPr>
          <w:sz w:val="16"/>
          <w:szCs w:val="16"/>
        </w:rPr>
      </w:pPr>
      <w:r w:rsidRPr="008A1381">
        <w:rPr>
          <w:rStyle w:val="a9"/>
          <w:sz w:val="16"/>
          <w:szCs w:val="16"/>
        </w:rPr>
        <w:footnoteRef/>
      </w:r>
      <w:r w:rsidRPr="008A1381">
        <w:rPr>
          <w:sz w:val="16"/>
          <w:szCs w:val="16"/>
        </w:rPr>
        <w:t xml:space="preserve"> "Уголовный кодекс Российской Федерации" от 13.06.1996 </w:t>
      </w:r>
      <w:r w:rsidRPr="008A1381">
        <w:rPr>
          <w:sz w:val="16"/>
          <w:szCs w:val="16"/>
          <w:lang w:val="en-US"/>
        </w:rPr>
        <w:t>N</w:t>
      </w:r>
      <w:r w:rsidRPr="008A1381">
        <w:rPr>
          <w:sz w:val="16"/>
          <w:szCs w:val="16"/>
        </w:rPr>
        <w:t xml:space="preserve"> 63-ФЗ // Собрание законодательства РФ. – 1996. - </w:t>
      </w:r>
      <w:proofErr w:type="gramStart"/>
      <w:r w:rsidRPr="008A1381">
        <w:rPr>
          <w:sz w:val="16"/>
          <w:szCs w:val="16"/>
          <w:lang w:val="en-US"/>
        </w:rPr>
        <w:t>N</w:t>
      </w:r>
      <w:r w:rsidRPr="008A1381">
        <w:rPr>
          <w:sz w:val="16"/>
          <w:szCs w:val="16"/>
        </w:rPr>
        <w:t xml:space="preserve"> 25.</w:t>
      </w:r>
      <w:proofErr w:type="gramEnd"/>
      <w:r w:rsidRPr="008A1381">
        <w:rPr>
          <w:sz w:val="16"/>
          <w:szCs w:val="16"/>
        </w:rPr>
        <w:t xml:space="preserve"> - Ст. 2954.</w:t>
      </w:r>
    </w:p>
  </w:footnote>
  <w:footnote w:id="27">
    <w:p w:rsidR="00E24259" w:rsidRPr="000658C3" w:rsidRDefault="00E24259" w:rsidP="000658C3">
      <w:pPr>
        <w:pStyle w:val="a7"/>
        <w:jc w:val="both"/>
        <w:rPr>
          <w:sz w:val="16"/>
          <w:szCs w:val="16"/>
        </w:rPr>
      </w:pPr>
      <w:r w:rsidRPr="000658C3">
        <w:rPr>
          <w:rStyle w:val="a9"/>
          <w:sz w:val="16"/>
          <w:szCs w:val="16"/>
        </w:rPr>
        <w:footnoteRef/>
      </w:r>
      <w:r w:rsidRPr="000658C3">
        <w:rPr>
          <w:sz w:val="16"/>
          <w:szCs w:val="16"/>
        </w:rPr>
        <w:t xml:space="preserve"> Официальный сайт Комиссии по ценным бумагам и биржам США [Электронный ресурс]: </w:t>
      </w:r>
      <w:proofErr w:type="gramStart"/>
      <w:r w:rsidRPr="000658C3">
        <w:rPr>
          <w:sz w:val="16"/>
          <w:szCs w:val="16"/>
          <w:lang w:val="en-US"/>
        </w:rPr>
        <w:t>Securities</w:t>
      </w:r>
      <w:r w:rsidRPr="000658C3">
        <w:rPr>
          <w:sz w:val="16"/>
          <w:szCs w:val="16"/>
        </w:rPr>
        <w:t xml:space="preserve"> </w:t>
      </w:r>
      <w:r w:rsidRPr="000658C3">
        <w:rPr>
          <w:sz w:val="16"/>
          <w:szCs w:val="16"/>
          <w:lang w:val="en-US"/>
        </w:rPr>
        <w:t>Act</w:t>
      </w:r>
      <w:r w:rsidRPr="000658C3">
        <w:rPr>
          <w:sz w:val="16"/>
          <w:szCs w:val="16"/>
        </w:rPr>
        <w:t xml:space="preserve"> </w:t>
      </w:r>
      <w:r w:rsidRPr="000658C3">
        <w:rPr>
          <w:sz w:val="16"/>
          <w:szCs w:val="16"/>
          <w:lang w:val="en-US"/>
        </w:rPr>
        <w:t>of</w:t>
      </w:r>
      <w:r w:rsidRPr="000658C3">
        <w:rPr>
          <w:sz w:val="16"/>
          <w:szCs w:val="16"/>
        </w:rPr>
        <w:t xml:space="preserve"> 1933.</w:t>
      </w:r>
      <w:proofErr w:type="gramEnd"/>
      <w:r w:rsidRPr="000658C3">
        <w:rPr>
          <w:sz w:val="16"/>
          <w:szCs w:val="16"/>
        </w:rPr>
        <w:t xml:space="preserve"> – Режим доступа: </w:t>
      </w:r>
      <w:hyperlink r:id="rId12" w:history="1">
        <w:r w:rsidRPr="000658C3">
          <w:rPr>
            <w:rStyle w:val="aa"/>
            <w:sz w:val="16"/>
            <w:szCs w:val="16"/>
          </w:rPr>
          <w:t>http://www.sec.gov/about/laws/sa33.pdf</w:t>
        </w:r>
      </w:hyperlink>
      <w:r w:rsidRPr="000658C3">
        <w:rPr>
          <w:sz w:val="16"/>
          <w:szCs w:val="16"/>
        </w:rPr>
        <w:t xml:space="preserve">, свободный. – </w:t>
      </w:r>
      <w:proofErr w:type="spellStart"/>
      <w:r w:rsidRPr="000658C3">
        <w:rPr>
          <w:sz w:val="16"/>
          <w:szCs w:val="16"/>
        </w:rPr>
        <w:t>Загл</w:t>
      </w:r>
      <w:proofErr w:type="spellEnd"/>
      <w:r w:rsidRPr="000658C3">
        <w:rPr>
          <w:sz w:val="16"/>
          <w:szCs w:val="16"/>
        </w:rPr>
        <w:t>. с экрана.</w:t>
      </w:r>
    </w:p>
  </w:footnote>
  <w:footnote w:id="28">
    <w:p w:rsidR="00E24259" w:rsidRPr="000658C3" w:rsidRDefault="00E24259" w:rsidP="000658C3">
      <w:pPr>
        <w:pStyle w:val="a7"/>
        <w:jc w:val="both"/>
        <w:rPr>
          <w:sz w:val="16"/>
          <w:szCs w:val="16"/>
        </w:rPr>
      </w:pPr>
      <w:r w:rsidRPr="000658C3">
        <w:rPr>
          <w:rStyle w:val="a9"/>
          <w:sz w:val="16"/>
          <w:szCs w:val="16"/>
        </w:rPr>
        <w:footnoteRef/>
      </w:r>
      <w:r w:rsidRPr="000658C3">
        <w:rPr>
          <w:sz w:val="16"/>
          <w:szCs w:val="16"/>
        </w:rPr>
        <w:t xml:space="preserve">   Официальный сайт Комиссии по ценным бумагам и биржам США [Электронный ресурс]: </w:t>
      </w:r>
      <w:proofErr w:type="spellStart"/>
      <w:r w:rsidRPr="000658C3">
        <w:rPr>
          <w:sz w:val="16"/>
          <w:szCs w:val="16"/>
        </w:rPr>
        <w:t>Securities</w:t>
      </w:r>
      <w:proofErr w:type="spellEnd"/>
      <w:r w:rsidRPr="000658C3">
        <w:rPr>
          <w:sz w:val="16"/>
          <w:szCs w:val="16"/>
        </w:rPr>
        <w:t xml:space="preserve"> </w:t>
      </w:r>
      <w:r w:rsidRPr="000658C3">
        <w:rPr>
          <w:sz w:val="16"/>
          <w:szCs w:val="16"/>
          <w:lang w:val="en-US"/>
        </w:rPr>
        <w:t>Exchange</w:t>
      </w:r>
      <w:r w:rsidRPr="000658C3">
        <w:rPr>
          <w:sz w:val="16"/>
          <w:szCs w:val="16"/>
        </w:rPr>
        <w:t xml:space="preserve"> </w:t>
      </w:r>
      <w:proofErr w:type="spellStart"/>
      <w:r w:rsidRPr="000658C3">
        <w:rPr>
          <w:sz w:val="16"/>
          <w:szCs w:val="16"/>
        </w:rPr>
        <w:t>Act</w:t>
      </w:r>
      <w:proofErr w:type="spellEnd"/>
      <w:r w:rsidRPr="000658C3">
        <w:rPr>
          <w:sz w:val="16"/>
          <w:szCs w:val="16"/>
        </w:rPr>
        <w:t xml:space="preserve"> </w:t>
      </w:r>
      <w:proofErr w:type="spellStart"/>
      <w:r w:rsidRPr="000658C3">
        <w:rPr>
          <w:sz w:val="16"/>
          <w:szCs w:val="16"/>
        </w:rPr>
        <w:t>of</w:t>
      </w:r>
      <w:proofErr w:type="spellEnd"/>
      <w:r w:rsidRPr="000658C3">
        <w:rPr>
          <w:sz w:val="16"/>
          <w:szCs w:val="16"/>
        </w:rPr>
        <w:t xml:space="preserve"> 1934. – Режим доступа: </w:t>
      </w:r>
      <w:hyperlink r:id="rId13" w:history="1">
        <w:r w:rsidRPr="000658C3">
          <w:rPr>
            <w:rStyle w:val="aa"/>
            <w:sz w:val="16"/>
            <w:szCs w:val="16"/>
          </w:rPr>
          <w:t>http://www.sec.gov/about/laws/sea34.pdf</w:t>
        </w:r>
      </w:hyperlink>
      <w:r w:rsidRPr="000658C3">
        <w:rPr>
          <w:sz w:val="16"/>
          <w:szCs w:val="16"/>
        </w:rPr>
        <w:t xml:space="preserve">, свободный. – </w:t>
      </w:r>
      <w:proofErr w:type="spellStart"/>
      <w:r w:rsidRPr="000658C3">
        <w:rPr>
          <w:sz w:val="16"/>
          <w:szCs w:val="16"/>
        </w:rPr>
        <w:t>Загл</w:t>
      </w:r>
      <w:proofErr w:type="spellEnd"/>
      <w:r w:rsidRPr="000658C3">
        <w:rPr>
          <w:sz w:val="16"/>
          <w:szCs w:val="16"/>
        </w:rPr>
        <w:t>. с экрана.</w:t>
      </w:r>
    </w:p>
  </w:footnote>
  <w:footnote w:id="29">
    <w:p w:rsidR="00E24259" w:rsidRPr="00A97BA8" w:rsidRDefault="00E24259" w:rsidP="00E35DBF">
      <w:pPr>
        <w:pStyle w:val="a7"/>
        <w:jc w:val="both"/>
        <w:rPr>
          <w:sz w:val="16"/>
          <w:szCs w:val="16"/>
        </w:rPr>
      </w:pPr>
      <w:r w:rsidRPr="00A97BA8">
        <w:rPr>
          <w:rStyle w:val="a9"/>
          <w:sz w:val="16"/>
          <w:szCs w:val="16"/>
        </w:rPr>
        <w:footnoteRef/>
      </w:r>
      <w:r w:rsidRPr="00A97BA8">
        <w:rPr>
          <w:sz w:val="16"/>
          <w:szCs w:val="16"/>
        </w:rPr>
        <w:t xml:space="preserve"> </w:t>
      </w:r>
      <w:proofErr w:type="spellStart"/>
      <w:r w:rsidRPr="00A97BA8">
        <w:rPr>
          <w:rFonts w:cs="Tahoma"/>
          <w:sz w:val="16"/>
          <w:szCs w:val="16"/>
        </w:rPr>
        <w:t>Вавулин</w:t>
      </w:r>
      <w:proofErr w:type="spellEnd"/>
      <w:r w:rsidRPr="00A97BA8">
        <w:rPr>
          <w:rFonts w:cs="Tahoma"/>
          <w:sz w:val="16"/>
          <w:szCs w:val="16"/>
        </w:rPr>
        <w:t xml:space="preserve"> Д.А. Раскрытие информации акционерными обществами. </w:t>
      </w:r>
      <w:proofErr w:type="spellStart"/>
      <w:r w:rsidRPr="00A97BA8">
        <w:rPr>
          <w:rFonts w:cs="Tahoma"/>
          <w:sz w:val="16"/>
          <w:szCs w:val="16"/>
        </w:rPr>
        <w:t>Юстицинформ</w:t>
      </w:r>
      <w:proofErr w:type="spellEnd"/>
      <w:r w:rsidRPr="00A97BA8">
        <w:rPr>
          <w:rFonts w:cs="Tahoma"/>
          <w:sz w:val="16"/>
          <w:szCs w:val="16"/>
        </w:rPr>
        <w:t>, 2012.</w:t>
      </w:r>
    </w:p>
  </w:footnote>
  <w:footnote w:id="30">
    <w:p w:rsidR="00E24259" w:rsidRPr="00A97BA8" w:rsidRDefault="00E24259" w:rsidP="00CB19E9">
      <w:pPr>
        <w:pStyle w:val="a7"/>
        <w:jc w:val="both"/>
        <w:rPr>
          <w:sz w:val="16"/>
          <w:szCs w:val="16"/>
        </w:rPr>
      </w:pPr>
      <w:r w:rsidRPr="00A97BA8">
        <w:rPr>
          <w:rStyle w:val="a9"/>
          <w:sz w:val="16"/>
          <w:szCs w:val="16"/>
        </w:rPr>
        <w:footnoteRef/>
      </w:r>
      <w:r w:rsidRPr="00A97BA8">
        <w:rPr>
          <w:sz w:val="16"/>
          <w:szCs w:val="16"/>
        </w:rPr>
        <w:t xml:space="preserve"> </w:t>
      </w:r>
      <w:proofErr w:type="spellStart"/>
      <w:r w:rsidRPr="00A97BA8">
        <w:rPr>
          <w:rFonts w:cs="Tahoma"/>
          <w:sz w:val="16"/>
          <w:szCs w:val="16"/>
        </w:rPr>
        <w:t>Вавулин</w:t>
      </w:r>
      <w:proofErr w:type="spellEnd"/>
      <w:r w:rsidRPr="00A97BA8">
        <w:rPr>
          <w:rFonts w:cs="Tahoma"/>
          <w:sz w:val="16"/>
          <w:szCs w:val="16"/>
        </w:rPr>
        <w:t xml:space="preserve"> Д.А.Раскрытие информации акционерными обществами. </w:t>
      </w:r>
      <w:proofErr w:type="spellStart"/>
      <w:r w:rsidRPr="00A97BA8">
        <w:rPr>
          <w:rFonts w:cs="Tahoma"/>
          <w:sz w:val="16"/>
          <w:szCs w:val="16"/>
        </w:rPr>
        <w:t>Юстицинформ</w:t>
      </w:r>
      <w:proofErr w:type="spellEnd"/>
      <w:r w:rsidRPr="00A97BA8">
        <w:rPr>
          <w:rFonts w:cs="Tahoma"/>
          <w:sz w:val="16"/>
          <w:szCs w:val="16"/>
        </w:rPr>
        <w:t>, 2012.</w:t>
      </w:r>
    </w:p>
  </w:footnote>
  <w:footnote w:id="31">
    <w:p w:rsidR="00E24259" w:rsidRPr="00A97BA8" w:rsidRDefault="00E24259" w:rsidP="00CB19E9">
      <w:pPr>
        <w:pStyle w:val="a7"/>
        <w:jc w:val="both"/>
        <w:rPr>
          <w:sz w:val="16"/>
          <w:szCs w:val="16"/>
        </w:rPr>
      </w:pPr>
      <w:r w:rsidRPr="00A97BA8">
        <w:rPr>
          <w:rStyle w:val="a9"/>
          <w:sz w:val="16"/>
          <w:szCs w:val="16"/>
        </w:rPr>
        <w:footnoteRef/>
      </w:r>
      <w:r w:rsidRPr="00A97BA8">
        <w:rPr>
          <w:sz w:val="16"/>
          <w:szCs w:val="16"/>
        </w:rPr>
        <w:t xml:space="preserve"> </w:t>
      </w:r>
      <w:proofErr w:type="spellStart"/>
      <w:r w:rsidRPr="00A97BA8">
        <w:rPr>
          <w:sz w:val="16"/>
          <w:szCs w:val="16"/>
        </w:rPr>
        <w:t>Райзберг</w:t>
      </w:r>
      <w:proofErr w:type="spellEnd"/>
      <w:r w:rsidRPr="00A97BA8">
        <w:rPr>
          <w:sz w:val="16"/>
          <w:szCs w:val="16"/>
        </w:rPr>
        <w:t xml:space="preserve"> Б.А., Лозовский Л.Ш., Стародубцева Е.Б. Совре</w:t>
      </w:r>
      <w:r>
        <w:rPr>
          <w:sz w:val="16"/>
          <w:szCs w:val="16"/>
        </w:rPr>
        <w:t xml:space="preserve">менный экономический словарь. </w:t>
      </w:r>
      <w:r w:rsidRPr="00A97BA8">
        <w:rPr>
          <w:sz w:val="16"/>
          <w:szCs w:val="16"/>
        </w:rPr>
        <w:t xml:space="preserve">ИНФРА-М, 2006. </w:t>
      </w:r>
    </w:p>
  </w:footnote>
  <w:footnote w:id="32">
    <w:p w:rsidR="00E24259" w:rsidRDefault="00E24259" w:rsidP="00CB19E9">
      <w:pPr>
        <w:jc w:val="both"/>
        <w:rPr>
          <w:sz w:val="16"/>
          <w:szCs w:val="16"/>
        </w:rPr>
      </w:pPr>
      <w:r w:rsidRPr="00A97BA8">
        <w:rPr>
          <w:rStyle w:val="a9"/>
          <w:sz w:val="16"/>
          <w:szCs w:val="16"/>
        </w:rPr>
        <w:footnoteRef/>
      </w:r>
      <w:r>
        <w:rPr>
          <w:sz w:val="16"/>
          <w:szCs w:val="16"/>
        </w:rPr>
        <w:t xml:space="preserve"> </w:t>
      </w:r>
      <w:r w:rsidRPr="008746AC">
        <w:rPr>
          <w:sz w:val="16"/>
          <w:szCs w:val="16"/>
        </w:rPr>
        <w:t>Официальный сайт Комиссии по ценным бумагам и биржам США [Электронный ресурс]:</w:t>
      </w:r>
      <w:r>
        <w:rPr>
          <w:sz w:val="16"/>
          <w:szCs w:val="16"/>
        </w:rPr>
        <w:t xml:space="preserve"> </w:t>
      </w:r>
      <w:r>
        <w:rPr>
          <w:sz w:val="16"/>
          <w:szCs w:val="16"/>
          <w:lang w:val="en-US"/>
        </w:rPr>
        <w:t>Form</w:t>
      </w:r>
      <w:r>
        <w:rPr>
          <w:sz w:val="16"/>
          <w:szCs w:val="16"/>
        </w:rPr>
        <w:t xml:space="preserve"> 1</w:t>
      </w:r>
      <w:r w:rsidRPr="0011346D">
        <w:rPr>
          <w:sz w:val="16"/>
          <w:szCs w:val="16"/>
        </w:rPr>
        <w:t>0-</w:t>
      </w:r>
      <w:r>
        <w:rPr>
          <w:sz w:val="16"/>
          <w:szCs w:val="16"/>
          <w:lang w:val="en-US"/>
        </w:rPr>
        <w:t>K</w:t>
      </w:r>
      <w:r w:rsidRPr="008746AC">
        <w:rPr>
          <w:sz w:val="16"/>
          <w:szCs w:val="16"/>
        </w:rPr>
        <w:t>. – Режим доступа:</w:t>
      </w:r>
      <w:r w:rsidRPr="0011346D">
        <w:rPr>
          <w:sz w:val="16"/>
          <w:szCs w:val="16"/>
        </w:rPr>
        <w:t xml:space="preserve"> </w:t>
      </w:r>
      <w:hyperlink r:id="rId14" w:history="1">
        <w:r w:rsidRPr="00A97BA8">
          <w:rPr>
            <w:rStyle w:val="aa"/>
            <w:sz w:val="16"/>
            <w:szCs w:val="16"/>
            <w:lang w:val="en-US"/>
          </w:rPr>
          <w:t>http</w:t>
        </w:r>
        <w:r w:rsidRPr="00A97BA8">
          <w:rPr>
            <w:rStyle w:val="aa"/>
            <w:sz w:val="16"/>
            <w:szCs w:val="16"/>
          </w:rPr>
          <w:t>://</w:t>
        </w:r>
        <w:r w:rsidRPr="00A97BA8">
          <w:rPr>
            <w:rStyle w:val="aa"/>
            <w:sz w:val="16"/>
            <w:szCs w:val="16"/>
            <w:lang w:val="en-US"/>
          </w:rPr>
          <w:t>www</w:t>
        </w:r>
        <w:r w:rsidRPr="00A97BA8">
          <w:rPr>
            <w:rStyle w:val="aa"/>
            <w:sz w:val="16"/>
            <w:szCs w:val="16"/>
          </w:rPr>
          <w:t>.</w:t>
        </w:r>
        <w:r w:rsidRPr="00A97BA8">
          <w:rPr>
            <w:rStyle w:val="aa"/>
            <w:sz w:val="16"/>
            <w:szCs w:val="16"/>
            <w:lang w:val="en-US"/>
          </w:rPr>
          <w:t>sec</w:t>
        </w:r>
        <w:r w:rsidRPr="00A97BA8">
          <w:rPr>
            <w:rStyle w:val="aa"/>
            <w:sz w:val="16"/>
            <w:szCs w:val="16"/>
          </w:rPr>
          <w:t>.</w:t>
        </w:r>
        <w:proofErr w:type="spellStart"/>
        <w:r w:rsidRPr="00A97BA8">
          <w:rPr>
            <w:rStyle w:val="aa"/>
            <w:sz w:val="16"/>
            <w:szCs w:val="16"/>
            <w:lang w:val="en-US"/>
          </w:rPr>
          <w:t>gov</w:t>
        </w:r>
        <w:proofErr w:type="spellEnd"/>
        <w:r w:rsidRPr="00A97BA8">
          <w:rPr>
            <w:rStyle w:val="aa"/>
            <w:sz w:val="16"/>
            <w:szCs w:val="16"/>
          </w:rPr>
          <w:t>/</w:t>
        </w:r>
        <w:r w:rsidRPr="00A97BA8">
          <w:rPr>
            <w:rStyle w:val="aa"/>
            <w:sz w:val="16"/>
            <w:szCs w:val="16"/>
            <w:lang w:val="en-US"/>
          </w:rPr>
          <w:t>answers</w:t>
        </w:r>
        <w:r w:rsidRPr="00A97BA8">
          <w:rPr>
            <w:rStyle w:val="aa"/>
            <w:sz w:val="16"/>
            <w:szCs w:val="16"/>
          </w:rPr>
          <w:t>/</w:t>
        </w:r>
        <w:r w:rsidRPr="00A97BA8">
          <w:rPr>
            <w:rStyle w:val="aa"/>
            <w:sz w:val="16"/>
            <w:szCs w:val="16"/>
            <w:lang w:val="en-US"/>
          </w:rPr>
          <w:t>form</w:t>
        </w:r>
        <w:r w:rsidRPr="00A97BA8">
          <w:rPr>
            <w:rStyle w:val="aa"/>
            <w:sz w:val="16"/>
            <w:szCs w:val="16"/>
          </w:rPr>
          <w:t>10</w:t>
        </w:r>
        <w:r w:rsidRPr="00A97BA8">
          <w:rPr>
            <w:rStyle w:val="aa"/>
            <w:sz w:val="16"/>
            <w:szCs w:val="16"/>
            <w:lang w:val="en-US"/>
          </w:rPr>
          <w:t>k</w:t>
        </w:r>
        <w:r w:rsidRPr="00A97BA8">
          <w:rPr>
            <w:rStyle w:val="aa"/>
            <w:sz w:val="16"/>
            <w:szCs w:val="16"/>
          </w:rPr>
          <w:t>.</w:t>
        </w:r>
        <w:proofErr w:type="spellStart"/>
        <w:r w:rsidRPr="00A97BA8">
          <w:rPr>
            <w:rStyle w:val="aa"/>
            <w:sz w:val="16"/>
            <w:szCs w:val="16"/>
            <w:lang w:val="en-US"/>
          </w:rPr>
          <w:t>htm</w:t>
        </w:r>
        <w:proofErr w:type="spellEnd"/>
      </w:hyperlink>
      <w:r w:rsidRPr="008746AC">
        <w:rPr>
          <w:sz w:val="16"/>
          <w:szCs w:val="16"/>
        </w:rPr>
        <w:t xml:space="preserve">, свободный. – </w:t>
      </w:r>
      <w:proofErr w:type="spellStart"/>
      <w:r w:rsidRPr="008746AC">
        <w:rPr>
          <w:sz w:val="16"/>
          <w:szCs w:val="16"/>
        </w:rPr>
        <w:t>Загл</w:t>
      </w:r>
      <w:proofErr w:type="spellEnd"/>
      <w:r w:rsidRPr="008746AC">
        <w:rPr>
          <w:sz w:val="16"/>
          <w:szCs w:val="16"/>
        </w:rPr>
        <w:t>. с экрана.</w:t>
      </w:r>
    </w:p>
    <w:p w:rsidR="00E24259" w:rsidRPr="00A97BA8" w:rsidRDefault="00E24259">
      <w:pPr>
        <w:pStyle w:val="a7"/>
        <w:rPr>
          <w:sz w:val="16"/>
          <w:szCs w:val="16"/>
        </w:rPr>
      </w:pPr>
      <w:r w:rsidRPr="00A97BA8">
        <w:rPr>
          <w:sz w:val="16"/>
          <w:szCs w:val="16"/>
        </w:rPr>
        <w:t xml:space="preserve"> </w:t>
      </w:r>
    </w:p>
  </w:footnote>
  <w:footnote w:id="33">
    <w:p w:rsidR="00E24259" w:rsidRPr="00B46EC8" w:rsidRDefault="00E24259" w:rsidP="00CB19E9">
      <w:pPr>
        <w:jc w:val="both"/>
        <w:rPr>
          <w:sz w:val="16"/>
          <w:szCs w:val="16"/>
        </w:rPr>
      </w:pPr>
      <w:r w:rsidRPr="00B46EC8">
        <w:rPr>
          <w:rStyle w:val="a9"/>
          <w:sz w:val="16"/>
          <w:szCs w:val="16"/>
        </w:rPr>
        <w:footnoteRef/>
      </w:r>
      <w:r w:rsidRPr="00B46EC8">
        <w:rPr>
          <w:sz w:val="16"/>
          <w:szCs w:val="16"/>
        </w:rPr>
        <w:t xml:space="preserve"> Официальный сайт Комиссии по ценным бумагам и биржам США [Электронный ресурс]: </w:t>
      </w:r>
      <w:proofErr w:type="spellStart"/>
      <w:r w:rsidRPr="00B46EC8">
        <w:rPr>
          <w:sz w:val="16"/>
          <w:szCs w:val="16"/>
        </w:rPr>
        <w:t>Securities</w:t>
      </w:r>
      <w:proofErr w:type="spellEnd"/>
      <w:r w:rsidRPr="00B46EC8">
        <w:rPr>
          <w:sz w:val="16"/>
          <w:szCs w:val="16"/>
        </w:rPr>
        <w:t xml:space="preserve"> </w:t>
      </w:r>
      <w:proofErr w:type="spellStart"/>
      <w:r w:rsidRPr="00B46EC8">
        <w:rPr>
          <w:sz w:val="16"/>
          <w:szCs w:val="16"/>
        </w:rPr>
        <w:t>and</w:t>
      </w:r>
      <w:proofErr w:type="spellEnd"/>
      <w:r w:rsidRPr="00B46EC8">
        <w:rPr>
          <w:sz w:val="16"/>
          <w:szCs w:val="16"/>
        </w:rPr>
        <w:t xml:space="preserve"> </w:t>
      </w:r>
      <w:proofErr w:type="spellStart"/>
      <w:r w:rsidRPr="00B46EC8">
        <w:rPr>
          <w:sz w:val="16"/>
          <w:szCs w:val="16"/>
        </w:rPr>
        <w:t>Exchange</w:t>
      </w:r>
      <w:proofErr w:type="spellEnd"/>
      <w:r w:rsidRPr="00B46EC8">
        <w:rPr>
          <w:sz w:val="16"/>
          <w:szCs w:val="16"/>
        </w:rPr>
        <w:t xml:space="preserve"> </w:t>
      </w:r>
      <w:proofErr w:type="spellStart"/>
      <w:r w:rsidRPr="00B46EC8">
        <w:rPr>
          <w:sz w:val="16"/>
          <w:szCs w:val="16"/>
        </w:rPr>
        <w:t>Commission</w:t>
      </w:r>
      <w:proofErr w:type="spellEnd"/>
      <w:r w:rsidRPr="00B46EC8">
        <w:rPr>
          <w:sz w:val="16"/>
          <w:szCs w:val="16"/>
        </w:rPr>
        <w:t xml:space="preserve"> </w:t>
      </w:r>
      <w:proofErr w:type="spellStart"/>
      <w:r w:rsidRPr="00B46EC8">
        <w:rPr>
          <w:sz w:val="16"/>
          <w:szCs w:val="16"/>
        </w:rPr>
        <w:t>Forms</w:t>
      </w:r>
      <w:proofErr w:type="spellEnd"/>
      <w:r w:rsidRPr="00B46EC8">
        <w:rPr>
          <w:sz w:val="16"/>
          <w:szCs w:val="16"/>
        </w:rPr>
        <w:t xml:space="preserve"> </w:t>
      </w:r>
      <w:proofErr w:type="spellStart"/>
      <w:r w:rsidRPr="00B46EC8">
        <w:rPr>
          <w:sz w:val="16"/>
          <w:szCs w:val="16"/>
        </w:rPr>
        <w:t>List</w:t>
      </w:r>
      <w:proofErr w:type="spellEnd"/>
      <w:r>
        <w:rPr>
          <w:sz w:val="16"/>
          <w:szCs w:val="16"/>
        </w:rPr>
        <w:t xml:space="preserve">, </w:t>
      </w:r>
      <w:proofErr w:type="spellStart"/>
      <w:r w:rsidRPr="00B46EC8">
        <w:rPr>
          <w:sz w:val="16"/>
          <w:szCs w:val="16"/>
        </w:rPr>
        <w:t>Annual</w:t>
      </w:r>
      <w:proofErr w:type="spellEnd"/>
      <w:r w:rsidRPr="00B46EC8">
        <w:rPr>
          <w:sz w:val="16"/>
          <w:szCs w:val="16"/>
        </w:rPr>
        <w:t xml:space="preserve"> </w:t>
      </w:r>
      <w:proofErr w:type="spellStart"/>
      <w:r w:rsidRPr="00B46EC8">
        <w:rPr>
          <w:sz w:val="16"/>
          <w:szCs w:val="16"/>
        </w:rPr>
        <w:t>report</w:t>
      </w:r>
      <w:proofErr w:type="spellEnd"/>
      <w:r w:rsidRPr="00B46EC8">
        <w:rPr>
          <w:sz w:val="16"/>
          <w:szCs w:val="16"/>
        </w:rPr>
        <w:t xml:space="preserve"> </w:t>
      </w:r>
      <w:proofErr w:type="spellStart"/>
      <w:r w:rsidRPr="00B46EC8">
        <w:rPr>
          <w:sz w:val="16"/>
          <w:szCs w:val="16"/>
        </w:rPr>
        <w:t>pursuant</w:t>
      </w:r>
      <w:proofErr w:type="spellEnd"/>
      <w:r w:rsidRPr="00B46EC8">
        <w:rPr>
          <w:sz w:val="16"/>
          <w:szCs w:val="16"/>
        </w:rPr>
        <w:t xml:space="preserve"> </w:t>
      </w:r>
      <w:proofErr w:type="spellStart"/>
      <w:r w:rsidRPr="00B46EC8">
        <w:rPr>
          <w:sz w:val="16"/>
          <w:szCs w:val="16"/>
        </w:rPr>
        <w:t>to</w:t>
      </w:r>
      <w:proofErr w:type="spellEnd"/>
      <w:r w:rsidRPr="00B46EC8">
        <w:rPr>
          <w:sz w:val="16"/>
          <w:szCs w:val="16"/>
        </w:rPr>
        <w:t xml:space="preserve"> Section 13 </w:t>
      </w:r>
      <w:proofErr w:type="spellStart"/>
      <w:r w:rsidRPr="00B46EC8">
        <w:rPr>
          <w:sz w:val="16"/>
          <w:szCs w:val="16"/>
        </w:rPr>
        <w:t>or</w:t>
      </w:r>
      <w:proofErr w:type="spellEnd"/>
      <w:r w:rsidRPr="00B46EC8">
        <w:rPr>
          <w:sz w:val="16"/>
          <w:szCs w:val="16"/>
        </w:rPr>
        <w:t xml:space="preserve"> 15(</w:t>
      </w:r>
      <w:proofErr w:type="spellStart"/>
      <w:r w:rsidRPr="00B46EC8">
        <w:rPr>
          <w:sz w:val="16"/>
          <w:szCs w:val="16"/>
        </w:rPr>
        <w:t>d</w:t>
      </w:r>
      <w:proofErr w:type="spellEnd"/>
      <w:r w:rsidRPr="00B46EC8">
        <w:rPr>
          <w:sz w:val="16"/>
          <w:szCs w:val="16"/>
        </w:rPr>
        <w:t>). – Режим доступа:</w:t>
      </w:r>
      <w:r w:rsidRPr="00B46EC8">
        <w:t xml:space="preserve"> </w:t>
      </w:r>
      <w:hyperlink r:id="rId15" w:history="1">
        <w:r w:rsidRPr="00C971B6">
          <w:rPr>
            <w:rStyle w:val="aa"/>
            <w:sz w:val="16"/>
            <w:szCs w:val="16"/>
          </w:rPr>
          <w:t>http://www.sec.gov/about/forms/form10-k.pdf</w:t>
        </w:r>
      </w:hyperlink>
      <w:r w:rsidRPr="00B46EC8">
        <w:rPr>
          <w:sz w:val="16"/>
          <w:szCs w:val="16"/>
        </w:rPr>
        <w:t xml:space="preserve">, свободный. – </w:t>
      </w:r>
      <w:proofErr w:type="spellStart"/>
      <w:r w:rsidRPr="00B46EC8">
        <w:rPr>
          <w:sz w:val="16"/>
          <w:szCs w:val="16"/>
        </w:rPr>
        <w:t>Загл</w:t>
      </w:r>
      <w:proofErr w:type="spellEnd"/>
      <w:r w:rsidRPr="00B46EC8">
        <w:rPr>
          <w:sz w:val="16"/>
          <w:szCs w:val="16"/>
        </w:rPr>
        <w:t>. с экрана.</w:t>
      </w:r>
    </w:p>
    <w:p w:rsidR="00E24259" w:rsidRDefault="00E24259">
      <w:pPr>
        <w:pStyle w:val="a7"/>
      </w:pPr>
    </w:p>
  </w:footnote>
  <w:footnote w:id="34">
    <w:p w:rsidR="00E24259" w:rsidRPr="00C7718F" w:rsidRDefault="00E24259" w:rsidP="00CB71DC">
      <w:pPr>
        <w:pStyle w:val="a7"/>
        <w:jc w:val="both"/>
        <w:rPr>
          <w:sz w:val="16"/>
          <w:szCs w:val="16"/>
        </w:rPr>
      </w:pPr>
      <w:r w:rsidRPr="00C7718F">
        <w:rPr>
          <w:rStyle w:val="a9"/>
          <w:sz w:val="16"/>
          <w:szCs w:val="16"/>
        </w:rPr>
        <w:footnoteRef/>
      </w:r>
      <w:r w:rsidRPr="00C7718F">
        <w:rPr>
          <w:sz w:val="16"/>
          <w:szCs w:val="16"/>
        </w:rPr>
        <w:t xml:space="preserve"> </w:t>
      </w:r>
      <w:proofErr w:type="spellStart"/>
      <w:r w:rsidRPr="00C7718F">
        <w:rPr>
          <w:rFonts w:cs="Tahoma"/>
          <w:sz w:val="16"/>
          <w:szCs w:val="16"/>
        </w:rPr>
        <w:t>Вавулин</w:t>
      </w:r>
      <w:proofErr w:type="spellEnd"/>
      <w:r w:rsidRPr="00C7718F">
        <w:rPr>
          <w:rFonts w:cs="Tahoma"/>
          <w:sz w:val="16"/>
          <w:szCs w:val="16"/>
        </w:rPr>
        <w:t xml:space="preserve"> Д.А.Раскрытие информации акционерными обществами. </w:t>
      </w:r>
      <w:proofErr w:type="spellStart"/>
      <w:r w:rsidRPr="00C7718F">
        <w:rPr>
          <w:rFonts w:cs="Tahoma"/>
          <w:sz w:val="16"/>
          <w:szCs w:val="16"/>
        </w:rPr>
        <w:t>Юстицинформ</w:t>
      </w:r>
      <w:proofErr w:type="spellEnd"/>
      <w:r w:rsidRPr="00C7718F">
        <w:rPr>
          <w:rFonts w:cs="Tahoma"/>
          <w:sz w:val="16"/>
          <w:szCs w:val="16"/>
        </w:rPr>
        <w:t>, 2012.</w:t>
      </w:r>
    </w:p>
  </w:footnote>
  <w:footnote w:id="35">
    <w:p w:rsidR="00E24259" w:rsidRPr="00C7718F" w:rsidRDefault="00E24259" w:rsidP="00CB71DC">
      <w:pPr>
        <w:jc w:val="both"/>
        <w:rPr>
          <w:sz w:val="16"/>
          <w:szCs w:val="16"/>
        </w:rPr>
      </w:pPr>
      <w:r w:rsidRPr="00C7718F">
        <w:rPr>
          <w:rStyle w:val="a9"/>
          <w:sz w:val="16"/>
          <w:szCs w:val="16"/>
        </w:rPr>
        <w:footnoteRef/>
      </w:r>
      <w:r w:rsidRPr="00C7718F">
        <w:rPr>
          <w:sz w:val="16"/>
          <w:szCs w:val="16"/>
        </w:rPr>
        <w:t xml:space="preserve">Официальный сайт Комиссии по ценным бумагам и биржам США [Электронный ресурс]: </w:t>
      </w:r>
      <w:proofErr w:type="spellStart"/>
      <w:r w:rsidRPr="00C7718F">
        <w:rPr>
          <w:sz w:val="16"/>
          <w:szCs w:val="16"/>
        </w:rPr>
        <w:t>Form</w:t>
      </w:r>
      <w:proofErr w:type="spellEnd"/>
      <w:r w:rsidRPr="00C7718F">
        <w:rPr>
          <w:sz w:val="16"/>
          <w:szCs w:val="16"/>
        </w:rPr>
        <w:t xml:space="preserve"> 10-</w:t>
      </w:r>
      <w:r w:rsidRPr="00C7718F">
        <w:rPr>
          <w:sz w:val="16"/>
          <w:szCs w:val="16"/>
          <w:lang w:val="en-US"/>
        </w:rPr>
        <w:t>Q</w:t>
      </w:r>
      <w:r w:rsidRPr="00C7718F">
        <w:rPr>
          <w:sz w:val="16"/>
          <w:szCs w:val="16"/>
        </w:rPr>
        <w:t xml:space="preserve">. – Режим доступа: </w:t>
      </w:r>
      <w:hyperlink r:id="rId16" w:history="1">
        <w:r w:rsidRPr="00C7718F">
          <w:rPr>
            <w:rStyle w:val="aa"/>
            <w:rFonts w:cs="Tahoma"/>
            <w:sz w:val="16"/>
            <w:szCs w:val="16"/>
          </w:rPr>
          <w:t>http://www.sec.gov/answers/form10q.htm</w:t>
        </w:r>
      </w:hyperlink>
      <w:r w:rsidRPr="00C7718F">
        <w:rPr>
          <w:sz w:val="16"/>
          <w:szCs w:val="16"/>
        </w:rPr>
        <w:t xml:space="preserve">, свободный. – </w:t>
      </w:r>
      <w:proofErr w:type="spellStart"/>
      <w:r w:rsidRPr="00C7718F">
        <w:rPr>
          <w:sz w:val="16"/>
          <w:szCs w:val="16"/>
        </w:rPr>
        <w:t>Загл</w:t>
      </w:r>
      <w:proofErr w:type="spellEnd"/>
      <w:r w:rsidRPr="00C7718F">
        <w:rPr>
          <w:sz w:val="16"/>
          <w:szCs w:val="16"/>
        </w:rPr>
        <w:t>. с экрана.</w:t>
      </w:r>
    </w:p>
    <w:p w:rsidR="00E24259" w:rsidRPr="00DB210F" w:rsidRDefault="00E24259">
      <w:pPr>
        <w:pStyle w:val="a7"/>
      </w:pPr>
    </w:p>
  </w:footnote>
  <w:footnote w:id="36">
    <w:p w:rsidR="00E24259" w:rsidRPr="00C7718F" w:rsidRDefault="00E24259" w:rsidP="006153DF">
      <w:pPr>
        <w:pStyle w:val="a7"/>
        <w:jc w:val="both"/>
        <w:rPr>
          <w:sz w:val="16"/>
          <w:szCs w:val="16"/>
        </w:rPr>
      </w:pPr>
      <w:r w:rsidRPr="00C7718F">
        <w:rPr>
          <w:rStyle w:val="a9"/>
          <w:sz w:val="16"/>
          <w:szCs w:val="16"/>
        </w:rPr>
        <w:footnoteRef/>
      </w:r>
      <w:r w:rsidRPr="00C7718F">
        <w:rPr>
          <w:sz w:val="16"/>
          <w:szCs w:val="16"/>
        </w:rPr>
        <w:t xml:space="preserve"> Официальный сайт Комиссии по ценным бумагам и биржам США [Электронный ресурс]: </w:t>
      </w:r>
      <w:proofErr w:type="spellStart"/>
      <w:r w:rsidRPr="00C7718F">
        <w:rPr>
          <w:sz w:val="16"/>
          <w:szCs w:val="16"/>
        </w:rPr>
        <w:t>Securities</w:t>
      </w:r>
      <w:proofErr w:type="spellEnd"/>
      <w:r w:rsidRPr="00C7718F">
        <w:rPr>
          <w:sz w:val="16"/>
          <w:szCs w:val="16"/>
        </w:rPr>
        <w:t xml:space="preserve"> </w:t>
      </w:r>
      <w:proofErr w:type="spellStart"/>
      <w:r w:rsidRPr="00C7718F">
        <w:rPr>
          <w:sz w:val="16"/>
          <w:szCs w:val="16"/>
        </w:rPr>
        <w:t>and</w:t>
      </w:r>
      <w:proofErr w:type="spellEnd"/>
      <w:r w:rsidRPr="00C7718F">
        <w:rPr>
          <w:sz w:val="16"/>
          <w:szCs w:val="16"/>
        </w:rPr>
        <w:t xml:space="preserve"> </w:t>
      </w:r>
      <w:proofErr w:type="spellStart"/>
      <w:r w:rsidRPr="00C7718F">
        <w:rPr>
          <w:sz w:val="16"/>
          <w:szCs w:val="16"/>
        </w:rPr>
        <w:t>Exchange</w:t>
      </w:r>
      <w:proofErr w:type="spellEnd"/>
      <w:r w:rsidRPr="00C7718F">
        <w:rPr>
          <w:sz w:val="16"/>
          <w:szCs w:val="16"/>
        </w:rPr>
        <w:t xml:space="preserve"> </w:t>
      </w:r>
      <w:proofErr w:type="spellStart"/>
      <w:r w:rsidRPr="00C7718F">
        <w:rPr>
          <w:sz w:val="16"/>
          <w:szCs w:val="16"/>
        </w:rPr>
        <w:t>Commission</w:t>
      </w:r>
      <w:proofErr w:type="spellEnd"/>
      <w:r w:rsidRPr="00C7718F">
        <w:rPr>
          <w:sz w:val="16"/>
          <w:szCs w:val="16"/>
        </w:rPr>
        <w:t xml:space="preserve"> </w:t>
      </w:r>
      <w:proofErr w:type="spellStart"/>
      <w:r w:rsidRPr="00C7718F">
        <w:rPr>
          <w:sz w:val="16"/>
          <w:szCs w:val="16"/>
        </w:rPr>
        <w:t>Forms</w:t>
      </w:r>
      <w:proofErr w:type="spellEnd"/>
      <w:r w:rsidRPr="00C7718F">
        <w:rPr>
          <w:sz w:val="16"/>
          <w:szCs w:val="16"/>
        </w:rPr>
        <w:t xml:space="preserve"> </w:t>
      </w:r>
      <w:proofErr w:type="spellStart"/>
      <w:r w:rsidRPr="00C7718F">
        <w:rPr>
          <w:sz w:val="16"/>
          <w:szCs w:val="16"/>
        </w:rPr>
        <w:t>List</w:t>
      </w:r>
      <w:proofErr w:type="spellEnd"/>
      <w:r w:rsidRPr="00C7718F">
        <w:rPr>
          <w:sz w:val="16"/>
          <w:szCs w:val="16"/>
        </w:rPr>
        <w:t xml:space="preserve">, </w:t>
      </w:r>
      <w:r w:rsidRPr="00C7718F">
        <w:rPr>
          <w:sz w:val="16"/>
          <w:szCs w:val="16"/>
          <w:lang w:val="en-US"/>
        </w:rPr>
        <w:t>General</w:t>
      </w:r>
      <w:r w:rsidRPr="00C7718F">
        <w:rPr>
          <w:sz w:val="16"/>
          <w:szCs w:val="16"/>
        </w:rPr>
        <w:t xml:space="preserve"> </w:t>
      </w:r>
      <w:r w:rsidRPr="00C7718F">
        <w:rPr>
          <w:sz w:val="16"/>
          <w:szCs w:val="16"/>
          <w:lang w:val="en-US"/>
        </w:rPr>
        <w:t>form</w:t>
      </w:r>
      <w:r w:rsidRPr="00C7718F">
        <w:rPr>
          <w:sz w:val="16"/>
          <w:szCs w:val="16"/>
        </w:rPr>
        <w:t xml:space="preserve"> </w:t>
      </w:r>
      <w:r w:rsidRPr="00C7718F">
        <w:rPr>
          <w:sz w:val="16"/>
          <w:szCs w:val="16"/>
          <w:lang w:val="en-US"/>
        </w:rPr>
        <w:t>for</w:t>
      </w:r>
      <w:r w:rsidRPr="00C7718F">
        <w:rPr>
          <w:sz w:val="16"/>
          <w:szCs w:val="16"/>
        </w:rPr>
        <w:t xml:space="preserve"> </w:t>
      </w:r>
      <w:r w:rsidRPr="00C7718F">
        <w:rPr>
          <w:sz w:val="16"/>
          <w:szCs w:val="16"/>
          <w:lang w:val="en-US"/>
        </w:rPr>
        <w:t>quarterly</w:t>
      </w:r>
      <w:r w:rsidRPr="00C7718F">
        <w:rPr>
          <w:sz w:val="16"/>
          <w:szCs w:val="16"/>
        </w:rPr>
        <w:t xml:space="preserve"> </w:t>
      </w:r>
      <w:r w:rsidRPr="00C7718F">
        <w:rPr>
          <w:sz w:val="16"/>
          <w:szCs w:val="16"/>
          <w:lang w:val="en-US"/>
        </w:rPr>
        <w:t>reports</w:t>
      </w:r>
      <w:r w:rsidRPr="00C7718F">
        <w:rPr>
          <w:sz w:val="16"/>
          <w:szCs w:val="16"/>
        </w:rPr>
        <w:t xml:space="preserve"> </w:t>
      </w:r>
      <w:r w:rsidRPr="00C7718F">
        <w:rPr>
          <w:sz w:val="16"/>
          <w:szCs w:val="16"/>
          <w:lang w:val="en-US"/>
        </w:rPr>
        <w:t>under</w:t>
      </w:r>
      <w:r w:rsidRPr="00C7718F">
        <w:rPr>
          <w:sz w:val="16"/>
          <w:szCs w:val="16"/>
        </w:rPr>
        <w:t xml:space="preserve"> </w:t>
      </w:r>
      <w:r w:rsidRPr="00C7718F">
        <w:rPr>
          <w:sz w:val="16"/>
          <w:szCs w:val="16"/>
          <w:lang w:val="en-US"/>
        </w:rPr>
        <w:t>Section</w:t>
      </w:r>
      <w:r w:rsidRPr="00C7718F">
        <w:rPr>
          <w:sz w:val="16"/>
          <w:szCs w:val="16"/>
        </w:rPr>
        <w:t xml:space="preserve"> 13 </w:t>
      </w:r>
      <w:r w:rsidRPr="00C7718F">
        <w:rPr>
          <w:sz w:val="16"/>
          <w:szCs w:val="16"/>
          <w:lang w:val="en-US"/>
        </w:rPr>
        <w:t>or</w:t>
      </w:r>
      <w:r w:rsidRPr="00C7718F">
        <w:rPr>
          <w:sz w:val="16"/>
          <w:szCs w:val="16"/>
        </w:rPr>
        <w:t xml:space="preserve"> 15(</w:t>
      </w:r>
      <w:r w:rsidRPr="00C7718F">
        <w:rPr>
          <w:sz w:val="16"/>
          <w:szCs w:val="16"/>
          <w:lang w:val="en-US"/>
        </w:rPr>
        <w:t>d</w:t>
      </w:r>
      <w:r w:rsidRPr="00C7718F">
        <w:rPr>
          <w:sz w:val="16"/>
          <w:szCs w:val="16"/>
        </w:rPr>
        <w:t xml:space="preserve">). – Режим доступа: </w:t>
      </w:r>
      <w:hyperlink r:id="rId17" w:history="1">
        <w:r w:rsidRPr="00C7718F">
          <w:rPr>
            <w:rStyle w:val="aa"/>
            <w:sz w:val="16"/>
            <w:szCs w:val="16"/>
            <w:lang w:val="en-US"/>
          </w:rPr>
          <w:t>http</w:t>
        </w:r>
        <w:r w:rsidRPr="00C7718F">
          <w:rPr>
            <w:rStyle w:val="aa"/>
            <w:sz w:val="16"/>
            <w:szCs w:val="16"/>
          </w:rPr>
          <w:t>://</w:t>
        </w:r>
        <w:r w:rsidRPr="00C7718F">
          <w:rPr>
            <w:rStyle w:val="aa"/>
            <w:sz w:val="16"/>
            <w:szCs w:val="16"/>
            <w:lang w:val="en-US"/>
          </w:rPr>
          <w:t>www</w:t>
        </w:r>
        <w:r w:rsidRPr="00C7718F">
          <w:rPr>
            <w:rStyle w:val="aa"/>
            <w:sz w:val="16"/>
            <w:szCs w:val="16"/>
          </w:rPr>
          <w:t>.</w:t>
        </w:r>
        <w:r w:rsidRPr="00C7718F">
          <w:rPr>
            <w:rStyle w:val="aa"/>
            <w:sz w:val="16"/>
            <w:szCs w:val="16"/>
            <w:lang w:val="en-US"/>
          </w:rPr>
          <w:t>sec</w:t>
        </w:r>
        <w:r w:rsidRPr="00C7718F">
          <w:rPr>
            <w:rStyle w:val="aa"/>
            <w:sz w:val="16"/>
            <w:szCs w:val="16"/>
          </w:rPr>
          <w:t>.</w:t>
        </w:r>
        <w:proofErr w:type="spellStart"/>
        <w:r w:rsidRPr="00C7718F">
          <w:rPr>
            <w:rStyle w:val="aa"/>
            <w:sz w:val="16"/>
            <w:szCs w:val="16"/>
            <w:lang w:val="en-US"/>
          </w:rPr>
          <w:t>gov</w:t>
        </w:r>
        <w:proofErr w:type="spellEnd"/>
        <w:r w:rsidRPr="00C7718F">
          <w:rPr>
            <w:rStyle w:val="aa"/>
            <w:sz w:val="16"/>
            <w:szCs w:val="16"/>
          </w:rPr>
          <w:t>/</w:t>
        </w:r>
        <w:r w:rsidRPr="00C7718F">
          <w:rPr>
            <w:rStyle w:val="aa"/>
            <w:sz w:val="16"/>
            <w:szCs w:val="16"/>
            <w:lang w:val="en-US"/>
          </w:rPr>
          <w:t>about</w:t>
        </w:r>
        <w:r w:rsidRPr="00C7718F">
          <w:rPr>
            <w:rStyle w:val="aa"/>
            <w:sz w:val="16"/>
            <w:szCs w:val="16"/>
          </w:rPr>
          <w:t>/</w:t>
        </w:r>
        <w:r w:rsidRPr="00C7718F">
          <w:rPr>
            <w:rStyle w:val="aa"/>
            <w:sz w:val="16"/>
            <w:szCs w:val="16"/>
            <w:lang w:val="en-US"/>
          </w:rPr>
          <w:t>forms</w:t>
        </w:r>
        <w:r w:rsidRPr="00C7718F">
          <w:rPr>
            <w:rStyle w:val="aa"/>
            <w:sz w:val="16"/>
            <w:szCs w:val="16"/>
          </w:rPr>
          <w:t>/</w:t>
        </w:r>
        <w:r w:rsidRPr="00C7718F">
          <w:rPr>
            <w:rStyle w:val="aa"/>
            <w:sz w:val="16"/>
            <w:szCs w:val="16"/>
            <w:lang w:val="en-US"/>
          </w:rPr>
          <w:t>form</w:t>
        </w:r>
        <w:r w:rsidRPr="00C7718F">
          <w:rPr>
            <w:rStyle w:val="aa"/>
            <w:sz w:val="16"/>
            <w:szCs w:val="16"/>
          </w:rPr>
          <w:t>10-</w:t>
        </w:r>
        <w:r w:rsidRPr="00C7718F">
          <w:rPr>
            <w:rStyle w:val="aa"/>
            <w:sz w:val="16"/>
            <w:szCs w:val="16"/>
            <w:lang w:val="en-US"/>
          </w:rPr>
          <w:t>q</w:t>
        </w:r>
        <w:r w:rsidRPr="00C7718F">
          <w:rPr>
            <w:rStyle w:val="aa"/>
            <w:sz w:val="16"/>
            <w:szCs w:val="16"/>
          </w:rPr>
          <w:t>.</w:t>
        </w:r>
        <w:proofErr w:type="spellStart"/>
        <w:r w:rsidRPr="00C7718F">
          <w:rPr>
            <w:rStyle w:val="aa"/>
            <w:sz w:val="16"/>
            <w:szCs w:val="16"/>
            <w:lang w:val="en-US"/>
          </w:rPr>
          <w:t>pdf</w:t>
        </w:r>
        <w:proofErr w:type="spellEnd"/>
      </w:hyperlink>
      <w:r w:rsidRPr="00C7718F">
        <w:rPr>
          <w:sz w:val="16"/>
          <w:szCs w:val="16"/>
        </w:rPr>
        <w:t xml:space="preserve">, свободный. – </w:t>
      </w:r>
      <w:proofErr w:type="spellStart"/>
      <w:r w:rsidRPr="00C7718F">
        <w:rPr>
          <w:sz w:val="16"/>
          <w:szCs w:val="16"/>
        </w:rPr>
        <w:t>Загл</w:t>
      </w:r>
      <w:proofErr w:type="spellEnd"/>
      <w:r w:rsidRPr="00C7718F">
        <w:rPr>
          <w:sz w:val="16"/>
          <w:szCs w:val="16"/>
        </w:rPr>
        <w:t>. с экрана.</w:t>
      </w:r>
    </w:p>
  </w:footnote>
  <w:footnote w:id="37">
    <w:p w:rsidR="00E24259" w:rsidRPr="00C7718F" w:rsidRDefault="00E24259" w:rsidP="006153DF">
      <w:pPr>
        <w:pStyle w:val="a7"/>
        <w:jc w:val="both"/>
        <w:rPr>
          <w:sz w:val="16"/>
          <w:szCs w:val="16"/>
        </w:rPr>
      </w:pPr>
      <w:r w:rsidRPr="00C7718F">
        <w:rPr>
          <w:rStyle w:val="a9"/>
          <w:sz w:val="16"/>
          <w:szCs w:val="16"/>
        </w:rPr>
        <w:footnoteRef/>
      </w:r>
      <w:r w:rsidRPr="00C7718F">
        <w:rPr>
          <w:sz w:val="16"/>
          <w:szCs w:val="16"/>
        </w:rPr>
        <w:t xml:space="preserve"> Официальный сайт ОАО «ЛУКОЙЛ» [Электронный ресурс]: раскрытие информации, ежеквартальный отчет эмитента за </w:t>
      </w:r>
      <w:r w:rsidRPr="00C7718F">
        <w:rPr>
          <w:sz w:val="16"/>
          <w:szCs w:val="16"/>
          <w:lang w:val="en-US"/>
        </w:rPr>
        <w:t>IV</w:t>
      </w:r>
      <w:r w:rsidRPr="00C7718F">
        <w:rPr>
          <w:sz w:val="16"/>
          <w:szCs w:val="16"/>
        </w:rPr>
        <w:t xml:space="preserve"> квартал 2012 года. – Режим доступа:  </w:t>
      </w:r>
      <w:hyperlink r:id="rId18" w:history="1">
        <w:r w:rsidRPr="00C7718F">
          <w:rPr>
            <w:rStyle w:val="aa"/>
            <w:sz w:val="16"/>
            <w:szCs w:val="16"/>
            <w:lang w:val="en-US"/>
          </w:rPr>
          <w:t>http</w:t>
        </w:r>
        <w:r w:rsidRPr="00C7718F">
          <w:rPr>
            <w:rStyle w:val="aa"/>
            <w:sz w:val="16"/>
            <w:szCs w:val="16"/>
          </w:rPr>
          <w:t>://</w:t>
        </w:r>
        <w:r w:rsidRPr="00C7718F">
          <w:rPr>
            <w:rStyle w:val="aa"/>
            <w:sz w:val="16"/>
            <w:szCs w:val="16"/>
            <w:lang w:val="en-US"/>
          </w:rPr>
          <w:t>www</w:t>
        </w:r>
        <w:r w:rsidRPr="00C7718F">
          <w:rPr>
            <w:rStyle w:val="aa"/>
            <w:sz w:val="16"/>
            <w:szCs w:val="16"/>
          </w:rPr>
          <w:t>.</w:t>
        </w:r>
        <w:proofErr w:type="spellStart"/>
        <w:r w:rsidRPr="00C7718F">
          <w:rPr>
            <w:rStyle w:val="aa"/>
            <w:sz w:val="16"/>
            <w:szCs w:val="16"/>
            <w:lang w:val="en-US"/>
          </w:rPr>
          <w:t>lukoil</w:t>
        </w:r>
        <w:proofErr w:type="spellEnd"/>
        <w:r w:rsidRPr="00C7718F">
          <w:rPr>
            <w:rStyle w:val="aa"/>
            <w:sz w:val="16"/>
            <w:szCs w:val="16"/>
          </w:rPr>
          <w:t>.</w:t>
        </w:r>
        <w:proofErr w:type="spellStart"/>
        <w:r w:rsidRPr="00C7718F">
          <w:rPr>
            <w:rStyle w:val="aa"/>
            <w:sz w:val="16"/>
            <w:szCs w:val="16"/>
            <w:lang w:val="en-US"/>
          </w:rPr>
          <w:t>ru</w:t>
        </w:r>
        <w:proofErr w:type="spellEnd"/>
        <w:r w:rsidRPr="00C7718F">
          <w:rPr>
            <w:rStyle w:val="aa"/>
            <w:sz w:val="16"/>
            <w:szCs w:val="16"/>
          </w:rPr>
          <w:t>/</w:t>
        </w:r>
        <w:r w:rsidRPr="00C7718F">
          <w:rPr>
            <w:rStyle w:val="aa"/>
            <w:sz w:val="16"/>
            <w:szCs w:val="16"/>
            <w:lang w:val="en-US"/>
          </w:rPr>
          <w:t>materials</w:t>
        </w:r>
        <w:r w:rsidRPr="00C7718F">
          <w:rPr>
            <w:rStyle w:val="aa"/>
            <w:sz w:val="16"/>
            <w:szCs w:val="16"/>
          </w:rPr>
          <w:t>/</w:t>
        </w:r>
        <w:r w:rsidRPr="00C7718F">
          <w:rPr>
            <w:rStyle w:val="aa"/>
            <w:sz w:val="16"/>
            <w:szCs w:val="16"/>
            <w:lang w:val="en-US"/>
          </w:rPr>
          <w:t>doc</w:t>
        </w:r>
        <w:r w:rsidRPr="00C7718F">
          <w:rPr>
            <w:rStyle w:val="aa"/>
            <w:sz w:val="16"/>
            <w:szCs w:val="16"/>
          </w:rPr>
          <w:t>/</w:t>
        </w:r>
        <w:r w:rsidRPr="00C7718F">
          <w:rPr>
            <w:rStyle w:val="aa"/>
            <w:sz w:val="16"/>
            <w:szCs w:val="16"/>
            <w:lang w:val="en-US"/>
          </w:rPr>
          <w:t>reports</w:t>
        </w:r>
        <w:r w:rsidRPr="00C7718F">
          <w:rPr>
            <w:rStyle w:val="aa"/>
            <w:sz w:val="16"/>
            <w:szCs w:val="16"/>
          </w:rPr>
          <w:t>/</w:t>
        </w:r>
        <w:proofErr w:type="spellStart"/>
        <w:r w:rsidRPr="00C7718F">
          <w:rPr>
            <w:rStyle w:val="aa"/>
            <w:sz w:val="16"/>
            <w:szCs w:val="16"/>
            <w:lang w:val="en-US"/>
          </w:rPr>
          <w:t>qreports</w:t>
        </w:r>
        <w:proofErr w:type="spellEnd"/>
        <w:r w:rsidRPr="00C7718F">
          <w:rPr>
            <w:rStyle w:val="aa"/>
            <w:sz w:val="16"/>
            <w:szCs w:val="16"/>
          </w:rPr>
          <w:t>/</w:t>
        </w:r>
        <w:proofErr w:type="spellStart"/>
        <w:r w:rsidRPr="00C7718F">
          <w:rPr>
            <w:rStyle w:val="aa"/>
            <w:sz w:val="16"/>
            <w:szCs w:val="16"/>
            <w:lang w:val="en-US"/>
          </w:rPr>
          <w:t>qr</w:t>
        </w:r>
        <w:proofErr w:type="spellEnd"/>
        <w:r w:rsidRPr="00C7718F">
          <w:rPr>
            <w:rStyle w:val="aa"/>
            <w:sz w:val="16"/>
            <w:szCs w:val="16"/>
          </w:rPr>
          <w:t>0412_</w:t>
        </w:r>
        <w:proofErr w:type="spellStart"/>
        <w:r w:rsidRPr="00C7718F">
          <w:rPr>
            <w:rStyle w:val="aa"/>
            <w:sz w:val="16"/>
            <w:szCs w:val="16"/>
            <w:lang w:val="en-US"/>
          </w:rPr>
          <w:t>Suppl</w:t>
        </w:r>
        <w:proofErr w:type="spellEnd"/>
        <w:r w:rsidRPr="00C7718F">
          <w:rPr>
            <w:rStyle w:val="aa"/>
            <w:sz w:val="16"/>
            <w:szCs w:val="16"/>
          </w:rPr>
          <w:t>.</w:t>
        </w:r>
        <w:proofErr w:type="spellStart"/>
        <w:r w:rsidRPr="00C7718F">
          <w:rPr>
            <w:rStyle w:val="aa"/>
            <w:sz w:val="16"/>
            <w:szCs w:val="16"/>
            <w:lang w:val="en-US"/>
          </w:rPr>
          <w:t>pdf</w:t>
        </w:r>
        <w:proofErr w:type="spellEnd"/>
      </w:hyperlink>
      <w:r w:rsidRPr="00C7718F">
        <w:rPr>
          <w:rStyle w:val="aa"/>
          <w:sz w:val="16"/>
          <w:szCs w:val="16"/>
        </w:rPr>
        <w:t>,</w:t>
      </w:r>
      <w:r w:rsidRPr="00C7718F">
        <w:rPr>
          <w:sz w:val="16"/>
          <w:szCs w:val="16"/>
        </w:rPr>
        <w:t xml:space="preserve"> свободный. – </w:t>
      </w:r>
      <w:proofErr w:type="spellStart"/>
      <w:r w:rsidRPr="00C7718F">
        <w:rPr>
          <w:sz w:val="16"/>
          <w:szCs w:val="16"/>
        </w:rPr>
        <w:t>Загл</w:t>
      </w:r>
      <w:proofErr w:type="spellEnd"/>
      <w:r w:rsidRPr="00C7718F">
        <w:rPr>
          <w:sz w:val="16"/>
          <w:szCs w:val="16"/>
        </w:rPr>
        <w:t>. с экрана.</w:t>
      </w:r>
    </w:p>
  </w:footnote>
  <w:footnote w:id="38">
    <w:p w:rsidR="00E24259" w:rsidRPr="00C7718F" w:rsidRDefault="00E24259" w:rsidP="006153DF">
      <w:pPr>
        <w:pStyle w:val="a7"/>
        <w:jc w:val="both"/>
        <w:rPr>
          <w:sz w:val="16"/>
          <w:szCs w:val="16"/>
        </w:rPr>
      </w:pPr>
      <w:r w:rsidRPr="00C7718F">
        <w:rPr>
          <w:rStyle w:val="a9"/>
          <w:sz w:val="16"/>
          <w:szCs w:val="16"/>
        </w:rPr>
        <w:footnoteRef/>
      </w:r>
      <w:r w:rsidRPr="00C7718F">
        <w:rPr>
          <w:sz w:val="16"/>
          <w:szCs w:val="16"/>
        </w:rPr>
        <w:t xml:space="preserve"> Официальный сайт Комиссии по ценным бумагам и биржам США [Электронный ресурс]: </w:t>
      </w:r>
      <w:r w:rsidRPr="00C7718F">
        <w:rPr>
          <w:sz w:val="16"/>
          <w:szCs w:val="16"/>
          <w:lang w:val="en-US"/>
        </w:rPr>
        <w:t>QUARTERLY</w:t>
      </w:r>
      <w:r w:rsidRPr="00C7718F">
        <w:rPr>
          <w:sz w:val="16"/>
          <w:szCs w:val="16"/>
        </w:rPr>
        <w:t xml:space="preserve"> </w:t>
      </w:r>
      <w:r w:rsidRPr="00C7718F">
        <w:rPr>
          <w:sz w:val="16"/>
          <w:szCs w:val="16"/>
          <w:lang w:val="en-US"/>
        </w:rPr>
        <w:t>REPORT</w:t>
      </w:r>
      <w:r w:rsidRPr="00C7718F">
        <w:rPr>
          <w:sz w:val="16"/>
          <w:szCs w:val="16"/>
        </w:rPr>
        <w:t xml:space="preserve"> </w:t>
      </w:r>
      <w:r w:rsidRPr="00C7718F">
        <w:rPr>
          <w:sz w:val="16"/>
          <w:szCs w:val="16"/>
          <w:lang w:val="en-US"/>
        </w:rPr>
        <w:t>PURSUANT</w:t>
      </w:r>
      <w:r w:rsidRPr="00C7718F">
        <w:rPr>
          <w:sz w:val="16"/>
          <w:szCs w:val="16"/>
        </w:rPr>
        <w:t xml:space="preserve"> </w:t>
      </w:r>
      <w:r w:rsidRPr="00C7718F">
        <w:rPr>
          <w:sz w:val="16"/>
          <w:szCs w:val="16"/>
          <w:lang w:val="en-US"/>
        </w:rPr>
        <w:t>TO</w:t>
      </w:r>
      <w:r w:rsidRPr="00C7718F">
        <w:rPr>
          <w:sz w:val="16"/>
          <w:szCs w:val="16"/>
        </w:rPr>
        <w:t xml:space="preserve"> </w:t>
      </w:r>
      <w:r w:rsidRPr="00C7718F">
        <w:rPr>
          <w:sz w:val="16"/>
          <w:szCs w:val="16"/>
          <w:lang w:val="en-US"/>
        </w:rPr>
        <w:t>SECTION</w:t>
      </w:r>
      <w:r w:rsidRPr="00C7718F">
        <w:rPr>
          <w:sz w:val="16"/>
          <w:szCs w:val="16"/>
        </w:rPr>
        <w:t xml:space="preserve"> 13 </w:t>
      </w:r>
      <w:r w:rsidRPr="00C7718F">
        <w:rPr>
          <w:sz w:val="16"/>
          <w:szCs w:val="16"/>
          <w:lang w:val="en-US"/>
        </w:rPr>
        <w:t>OR</w:t>
      </w:r>
      <w:r w:rsidRPr="00C7718F">
        <w:rPr>
          <w:sz w:val="16"/>
          <w:szCs w:val="16"/>
        </w:rPr>
        <w:t xml:space="preserve"> 15(</w:t>
      </w:r>
      <w:r w:rsidRPr="00C7718F">
        <w:rPr>
          <w:sz w:val="16"/>
          <w:szCs w:val="16"/>
          <w:lang w:val="en-US"/>
        </w:rPr>
        <w:t>d</w:t>
      </w:r>
      <w:r w:rsidRPr="00C7718F">
        <w:rPr>
          <w:sz w:val="16"/>
          <w:szCs w:val="16"/>
        </w:rPr>
        <w:t xml:space="preserve">) </w:t>
      </w:r>
      <w:r w:rsidRPr="00C7718F">
        <w:rPr>
          <w:sz w:val="16"/>
          <w:szCs w:val="16"/>
          <w:lang w:val="en-US"/>
        </w:rPr>
        <w:t>OF</w:t>
      </w:r>
      <w:r w:rsidRPr="00C7718F">
        <w:rPr>
          <w:sz w:val="16"/>
          <w:szCs w:val="16"/>
        </w:rPr>
        <w:t xml:space="preserve"> </w:t>
      </w:r>
      <w:r w:rsidRPr="00C7718F">
        <w:rPr>
          <w:sz w:val="16"/>
          <w:szCs w:val="16"/>
          <w:lang w:val="en-US"/>
        </w:rPr>
        <w:t>THE</w:t>
      </w:r>
      <w:r w:rsidRPr="00C7718F">
        <w:rPr>
          <w:sz w:val="16"/>
          <w:szCs w:val="16"/>
        </w:rPr>
        <w:t xml:space="preserve"> </w:t>
      </w:r>
      <w:r w:rsidRPr="00C7718F">
        <w:rPr>
          <w:sz w:val="16"/>
          <w:szCs w:val="16"/>
          <w:lang w:val="en-US"/>
        </w:rPr>
        <w:t>SECURITIES</w:t>
      </w:r>
      <w:r w:rsidRPr="00C7718F">
        <w:rPr>
          <w:sz w:val="16"/>
          <w:szCs w:val="16"/>
        </w:rPr>
        <w:t xml:space="preserve"> </w:t>
      </w:r>
      <w:r w:rsidRPr="00C7718F">
        <w:rPr>
          <w:sz w:val="16"/>
          <w:szCs w:val="16"/>
          <w:lang w:val="en-US"/>
        </w:rPr>
        <w:t>EXCHANGE</w:t>
      </w:r>
      <w:r w:rsidRPr="00C7718F">
        <w:rPr>
          <w:sz w:val="16"/>
          <w:szCs w:val="16"/>
        </w:rPr>
        <w:t xml:space="preserve"> </w:t>
      </w:r>
      <w:r w:rsidRPr="00C7718F">
        <w:rPr>
          <w:sz w:val="16"/>
          <w:szCs w:val="16"/>
          <w:lang w:val="en-US"/>
        </w:rPr>
        <w:t>ACT</w:t>
      </w:r>
      <w:r w:rsidRPr="00C7718F">
        <w:rPr>
          <w:sz w:val="16"/>
          <w:szCs w:val="16"/>
        </w:rPr>
        <w:t xml:space="preserve"> </w:t>
      </w:r>
      <w:r w:rsidRPr="00C7718F">
        <w:rPr>
          <w:sz w:val="16"/>
          <w:szCs w:val="16"/>
          <w:lang w:val="en-US"/>
        </w:rPr>
        <w:t>OF</w:t>
      </w:r>
      <w:r w:rsidRPr="00C7718F">
        <w:rPr>
          <w:sz w:val="16"/>
          <w:szCs w:val="16"/>
        </w:rPr>
        <w:t xml:space="preserve"> 1934 </w:t>
      </w:r>
      <w:proofErr w:type="gramStart"/>
      <w:r w:rsidRPr="00C7718F">
        <w:rPr>
          <w:sz w:val="16"/>
          <w:szCs w:val="16"/>
          <w:lang w:val="en-US"/>
        </w:rPr>
        <w:t>For</w:t>
      </w:r>
      <w:proofErr w:type="gramEnd"/>
      <w:r w:rsidRPr="00C7718F">
        <w:rPr>
          <w:sz w:val="16"/>
          <w:szCs w:val="16"/>
        </w:rPr>
        <w:t xml:space="preserve"> </w:t>
      </w:r>
      <w:r w:rsidRPr="00C7718F">
        <w:rPr>
          <w:sz w:val="16"/>
          <w:szCs w:val="16"/>
          <w:lang w:val="en-US"/>
        </w:rPr>
        <w:t>the</w:t>
      </w:r>
      <w:r w:rsidRPr="00C7718F">
        <w:rPr>
          <w:sz w:val="16"/>
          <w:szCs w:val="16"/>
        </w:rPr>
        <w:t xml:space="preserve"> </w:t>
      </w:r>
      <w:r w:rsidRPr="00C7718F">
        <w:rPr>
          <w:sz w:val="16"/>
          <w:szCs w:val="16"/>
          <w:lang w:val="en-US"/>
        </w:rPr>
        <w:t>quarterly</w:t>
      </w:r>
      <w:r w:rsidRPr="00C7718F">
        <w:rPr>
          <w:sz w:val="16"/>
          <w:szCs w:val="16"/>
        </w:rPr>
        <w:t xml:space="preserve"> </w:t>
      </w:r>
      <w:r w:rsidRPr="00C7718F">
        <w:rPr>
          <w:sz w:val="16"/>
          <w:szCs w:val="16"/>
          <w:lang w:val="en-US"/>
        </w:rPr>
        <w:t>period</w:t>
      </w:r>
      <w:r w:rsidRPr="00C7718F">
        <w:rPr>
          <w:sz w:val="16"/>
          <w:szCs w:val="16"/>
        </w:rPr>
        <w:t xml:space="preserve"> </w:t>
      </w:r>
      <w:r w:rsidRPr="00C7718F">
        <w:rPr>
          <w:sz w:val="16"/>
          <w:szCs w:val="16"/>
          <w:lang w:val="en-US"/>
        </w:rPr>
        <w:t>ended</w:t>
      </w:r>
      <w:r w:rsidRPr="00C7718F">
        <w:rPr>
          <w:sz w:val="16"/>
          <w:szCs w:val="16"/>
        </w:rPr>
        <w:t xml:space="preserve"> </w:t>
      </w:r>
      <w:r w:rsidRPr="00C7718F">
        <w:rPr>
          <w:sz w:val="16"/>
          <w:szCs w:val="16"/>
          <w:lang w:val="en-US"/>
        </w:rPr>
        <w:t>December</w:t>
      </w:r>
      <w:r w:rsidRPr="00C7718F">
        <w:rPr>
          <w:sz w:val="16"/>
          <w:szCs w:val="16"/>
        </w:rPr>
        <w:t xml:space="preserve"> 29, 2012, </w:t>
      </w:r>
      <w:r w:rsidRPr="00C7718F">
        <w:rPr>
          <w:sz w:val="16"/>
          <w:szCs w:val="16"/>
          <w:lang w:val="en-US"/>
        </w:rPr>
        <w:t>Apple</w:t>
      </w:r>
      <w:r w:rsidRPr="00C7718F">
        <w:rPr>
          <w:sz w:val="16"/>
          <w:szCs w:val="16"/>
        </w:rPr>
        <w:t xml:space="preserve"> </w:t>
      </w:r>
      <w:r w:rsidRPr="00C7718F">
        <w:rPr>
          <w:sz w:val="16"/>
          <w:szCs w:val="16"/>
          <w:lang w:val="en-US"/>
        </w:rPr>
        <w:t>Inc</w:t>
      </w:r>
      <w:r w:rsidRPr="00C7718F">
        <w:rPr>
          <w:sz w:val="16"/>
          <w:szCs w:val="16"/>
        </w:rPr>
        <w:t xml:space="preserve">. – Режим доступа:  </w:t>
      </w:r>
      <w:hyperlink r:id="rId19" w:history="1">
        <w:r w:rsidRPr="00C7718F">
          <w:rPr>
            <w:rStyle w:val="aa"/>
            <w:sz w:val="16"/>
            <w:szCs w:val="16"/>
            <w:lang w:val="en-US"/>
          </w:rPr>
          <w:t>http</w:t>
        </w:r>
        <w:r w:rsidRPr="00C7718F">
          <w:rPr>
            <w:rStyle w:val="aa"/>
            <w:sz w:val="16"/>
            <w:szCs w:val="16"/>
          </w:rPr>
          <w:t>://</w:t>
        </w:r>
        <w:r w:rsidRPr="00C7718F">
          <w:rPr>
            <w:rStyle w:val="aa"/>
            <w:sz w:val="16"/>
            <w:szCs w:val="16"/>
            <w:lang w:val="en-US"/>
          </w:rPr>
          <w:t>www</w:t>
        </w:r>
        <w:r w:rsidRPr="00C7718F">
          <w:rPr>
            <w:rStyle w:val="aa"/>
            <w:sz w:val="16"/>
            <w:szCs w:val="16"/>
          </w:rPr>
          <w:t>.</w:t>
        </w:r>
        <w:r w:rsidRPr="00C7718F">
          <w:rPr>
            <w:rStyle w:val="aa"/>
            <w:sz w:val="16"/>
            <w:szCs w:val="16"/>
            <w:lang w:val="en-US"/>
          </w:rPr>
          <w:t>sec</w:t>
        </w:r>
        <w:r w:rsidRPr="00C7718F">
          <w:rPr>
            <w:rStyle w:val="aa"/>
            <w:sz w:val="16"/>
            <w:szCs w:val="16"/>
          </w:rPr>
          <w:t>.</w:t>
        </w:r>
        <w:proofErr w:type="spellStart"/>
        <w:r w:rsidRPr="00C7718F">
          <w:rPr>
            <w:rStyle w:val="aa"/>
            <w:sz w:val="16"/>
            <w:szCs w:val="16"/>
            <w:lang w:val="en-US"/>
          </w:rPr>
          <w:t>gov</w:t>
        </w:r>
        <w:proofErr w:type="spellEnd"/>
        <w:r w:rsidRPr="00C7718F">
          <w:rPr>
            <w:rStyle w:val="aa"/>
            <w:sz w:val="16"/>
            <w:szCs w:val="16"/>
          </w:rPr>
          <w:t>/</w:t>
        </w:r>
        <w:r w:rsidRPr="00C7718F">
          <w:rPr>
            <w:rStyle w:val="aa"/>
            <w:sz w:val="16"/>
            <w:szCs w:val="16"/>
            <w:lang w:val="en-US"/>
          </w:rPr>
          <w:t>Archives</w:t>
        </w:r>
        <w:r w:rsidRPr="00C7718F">
          <w:rPr>
            <w:rStyle w:val="aa"/>
            <w:sz w:val="16"/>
            <w:szCs w:val="16"/>
          </w:rPr>
          <w:t>/</w:t>
        </w:r>
        <w:proofErr w:type="spellStart"/>
        <w:r w:rsidRPr="00C7718F">
          <w:rPr>
            <w:rStyle w:val="aa"/>
            <w:sz w:val="16"/>
            <w:szCs w:val="16"/>
            <w:lang w:val="en-US"/>
          </w:rPr>
          <w:t>edgar</w:t>
        </w:r>
        <w:proofErr w:type="spellEnd"/>
        <w:r w:rsidRPr="00C7718F">
          <w:rPr>
            <w:rStyle w:val="aa"/>
            <w:sz w:val="16"/>
            <w:szCs w:val="16"/>
          </w:rPr>
          <w:t>/</w:t>
        </w:r>
        <w:r w:rsidRPr="00C7718F">
          <w:rPr>
            <w:rStyle w:val="aa"/>
            <w:sz w:val="16"/>
            <w:szCs w:val="16"/>
            <w:lang w:val="en-US"/>
          </w:rPr>
          <w:t>data</w:t>
        </w:r>
        <w:r w:rsidRPr="00C7718F">
          <w:rPr>
            <w:rStyle w:val="aa"/>
            <w:sz w:val="16"/>
            <w:szCs w:val="16"/>
          </w:rPr>
          <w:t>/320193/000119312513022339/</w:t>
        </w:r>
        <w:r w:rsidRPr="00C7718F">
          <w:rPr>
            <w:rStyle w:val="aa"/>
            <w:sz w:val="16"/>
            <w:szCs w:val="16"/>
            <w:lang w:val="en-US"/>
          </w:rPr>
          <w:t>d</w:t>
        </w:r>
        <w:r w:rsidRPr="00C7718F">
          <w:rPr>
            <w:rStyle w:val="aa"/>
            <w:sz w:val="16"/>
            <w:szCs w:val="16"/>
          </w:rPr>
          <w:t>453687</w:t>
        </w:r>
        <w:r w:rsidRPr="00C7718F">
          <w:rPr>
            <w:rStyle w:val="aa"/>
            <w:sz w:val="16"/>
            <w:szCs w:val="16"/>
            <w:lang w:val="en-US"/>
          </w:rPr>
          <w:t>d</w:t>
        </w:r>
        <w:r w:rsidRPr="00C7718F">
          <w:rPr>
            <w:rStyle w:val="aa"/>
            <w:sz w:val="16"/>
            <w:szCs w:val="16"/>
          </w:rPr>
          <w:t>10</w:t>
        </w:r>
        <w:r w:rsidRPr="00C7718F">
          <w:rPr>
            <w:rStyle w:val="aa"/>
            <w:sz w:val="16"/>
            <w:szCs w:val="16"/>
            <w:lang w:val="en-US"/>
          </w:rPr>
          <w:t>q</w:t>
        </w:r>
        <w:r w:rsidRPr="00C7718F">
          <w:rPr>
            <w:rStyle w:val="aa"/>
            <w:sz w:val="16"/>
            <w:szCs w:val="16"/>
          </w:rPr>
          <w:t>.</w:t>
        </w:r>
        <w:proofErr w:type="spellStart"/>
        <w:r w:rsidRPr="00C7718F">
          <w:rPr>
            <w:rStyle w:val="aa"/>
            <w:sz w:val="16"/>
            <w:szCs w:val="16"/>
            <w:lang w:val="en-US"/>
          </w:rPr>
          <w:t>htm</w:t>
        </w:r>
        <w:proofErr w:type="spellEnd"/>
      </w:hyperlink>
      <w:r w:rsidRPr="00C7718F">
        <w:rPr>
          <w:rStyle w:val="aa"/>
          <w:sz w:val="16"/>
          <w:szCs w:val="16"/>
        </w:rPr>
        <w:t>,</w:t>
      </w:r>
      <w:r w:rsidRPr="00C7718F">
        <w:rPr>
          <w:sz w:val="16"/>
          <w:szCs w:val="16"/>
        </w:rPr>
        <w:t xml:space="preserve"> свободный. – </w:t>
      </w:r>
      <w:proofErr w:type="spellStart"/>
      <w:r w:rsidRPr="00C7718F">
        <w:rPr>
          <w:sz w:val="16"/>
          <w:szCs w:val="16"/>
        </w:rPr>
        <w:t>Загл</w:t>
      </w:r>
      <w:proofErr w:type="spellEnd"/>
      <w:r w:rsidRPr="00C7718F">
        <w:rPr>
          <w:sz w:val="16"/>
          <w:szCs w:val="16"/>
        </w:rPr>
        <w:t>. с экрана.</w:t>
      </w:r>
    </w:p>
  </w:footnote>
  <w:footnote w:id="39">
    <w:p w:rsidR="00E24259" w:rsidRPr="00650840" w:rsidRDefault="00E24259" w:rsidP="00F51AB1">
      <w:pPr>
        <w:pStyle w:val="a7"/>
        <w:jc w:val="both"/>
        <w:rPr>
          <w:sz w:val="16"/>
          <w:szCs w:val="16"/>
          <w:lang w:val="en-US"/>
        </w:rPr>
      </w:pPr>
      <w:r w:rsidRPr="00650840">
        <w:rPr>
          <w:rStyle w:val="a9"/>
          <w:sz w:val="16"/>
          <w:szCs w:val="16"/>
        </w:rPr>
        <w:footnoteRef/>
      </w:r>
      <w:r w:rsidRPr="00650840">
        <w:rPr>
          <w:sz w:val="16"/>
          <w:szCs w:val="16"/>
          <w:lang w:val="en-US"/>
        </w:rPr>
        <w:t xml:space="preserve"> Electronic Code of Federal Regulations [</w:t>
      </w:r>
      <w:r w:rsidRPr="00650840">
        <w:rPr>
          <w:sz w:val="16"/>
          <w:szCs w:val="16"/>
        </w:rPr>
        <w:t>Электронный</w:t>
      </w:r>
      <w:r w:rsidRPr="00650840">
        <w:rPr>
          <w:sz w:val="16"/>
          <w:szCs w:val="16"/>
          <w:lang w:val="en-US"/>
        </w:rPr>
        <w:t xml:space="preserve"> </w:t>
      </w:r>
      <w:r w:rsidRPr="00650840">
        <w:rPr>
          <w:sz w:val="16"/>
          <w:szCs w:val="16"/>
        </w:rPr>
        <w:t>ресурс</w:t>
      </w:r>
      <w:r w:rsidRPr="00650840">
        <w:rPr>
          <w:sz w:val="16"/>
          <w:szCs w:val="16"/>
          <w:lang w:val="en-US"/>
        </w:rPr>
        <w:t xml:space="preserve">]: §249.308, Subpart D--Forms for annual and other reports of issuers required under Sections 13 and (D) of the Securities Exchange Act of 1934, Part 249 Forms, Securities Exchange Act of 1934. </w:t>
      </w:r>
      <w:proofErr w:type="gramStart"/>
      <w:r w:rsidRPr="00650840">
        <w:rPr>
          <w:sz w:val="16"/>
          <w:szCs w:val="16"/>
          <w:lang w:val="en-US"/>
        </w:rPr>
        <w:t xml:space="preserve">– </w:t>
      </w:r>
      <w:r w:rsidRPr="00650840">
        <w:rPr>
          <w:sz w:val="16"/>
          <w:szCs w:val="16"/>
        </w:rPr>
        <w:t>Режим</w:t>
      </w:r>
      <w:r w:rsidRPr="00650840">
        <w:rPr>
          <w:sz w:val="16"/>
          <w:szCs w:val="16"/>
          <w:lang w:val="en-US"/>
        </w:rPr>
        <w:t xml:space="preserve"> </w:t>
      </w:r>
      <w:r w:rsidRPr="00650840">
        <w:rPr>
          <w:sz w:val="16"/>
          <w:szCs w:val="16"/>
        </w:rPr>
        <w:t>доступа</w:t>
      </w:r>
      <w:r w:rsidRPr="00650840">
        <w:rPr>
          <w:sz w:val="16"/>
          <w:szCs w:val="16"/>
          <w:lang w:val="en-US"/>
        </w:rPr>
        <w:t xml:space="preserve">: </w:t>
      </w:r>
      <w:hyperlink r:id="rId20" w:history="1">
        <w:r w:rsidRPr="00650840">
          <w:rPr>
            <w:rStyle w:val="aa"/>
            <w:sz w:val="16"/>
            <w:szCs w:val="16"/>
            <w:lang w:val="en-US"/>
          </w:rPr>
          <w:t>http://www.ecfr.gov</w:t>
        </w:r>
      </w:hyperlink>
      <w:r w:rsidRPr="00650840">
        <w:rPr>
          <w:sz w:val="16"/>
          <w:szCs w:val="16"/>
          <w:lang w:val="en-US"/>
        </w:rPr>
        <w:t xml:space="preserve">, </w:t>
      </w:r>
      <w:r w:rsidRPr="00650840">
        <w:rPr>
          <w:sz w:val="16"/>
          <w:szCs w:val="16"/>
        </w:rPr>
        <w:t>свободный</w:t>
      </w:r>
      <w:r w:rsidRPr="00650840">
        <w:rPr>
          <w:sz w:val="16"/>
          <w:szCs w:val="16"/>
          <w:lang w:val="en-US"/>
        </w:rPr>
        <w:t>.</w:t>
      </w:r>
      <w:proofErr w:type="gramEnd"/>
      <w:r w:rsidRPr="00650840">
        <w:rPr>
          <w:sz w:val="16"/>
          <w:szCs w:val="16"/>
          <w:lang w:val="en-US"/>
        </w:rPr>
        <w:t xml:space="preserve"> </w:t>
      </w:r>
      <w:proofErr w:type="gramStart"/>
      <w:r w:rsidRPr="00650840">
        <w:rPr>
          <w:sz w:val="16"/>
          <w:szCs w:val="16"/>
          <w:lang w:val="en-US"/>
        </w:rPr>
        <w:t xml:space="preserve">– </w:t>
      </w:r>
      <w:proofErr w:type="spellStart"/>
      <w:r w:rsidRPr="00650840">
        <w:rPr>
          <w:sz w:val="16"/>
          <w:szCs w:val="16"/>
        </w:rPr>
        <w:t>Загл</w:t>
      </w:r>
      <w:proofErr w:type="spellEnd"/>
      <w:r w:rsidRPr="00650840">
        <w:rPr>
          <w:sz w:val="16"/>
          <w:szCs w:val="16"/>
          <w:lang w:val="en-US"/>
        </w:rPr>
        <w:t xml:space="preserve">. </w:t>
      </w:r>
      <w:r w:rsidRPr="00650840">
        <w:rPr>
          <w:sz w:val="16"/>
          <w:szCs w:val="16"/>
        </w:rPr>
        <w:t>с</w:t>
      </w:r>
      <w:r w:rsidRPr="00650840">
        <w:rPr>
          <w:sz w:val="16"/>
          <w:szCs w:val="16"/>
          <w:lang w:val="en-US"/>
        </w:rPr>
        <w:t xml:space="preserve"> </w:t>
      </w:r>
      <w:r w:rsidRPr="00650840">
        <w:rPr>
          <w:sz w:val="16"/>
          <w:szCs w:val="16"/>
        </w:rPr>
        <w:t>экрана</w:t>
      </w:r>
      <w:r w:rsidRPr="00650840">
        <w:rPr>
          <w:sz w:val="16"/>
          <w:szCs w:val="16"/>
          <w:lang w:val="en-US"/>
        </w:rPr>
        <w:t>.</w:t>
      </w:r>
      <w:proofErr w:type="gramEnd"/>
    </w:p>
  </w:footnote>
  <w:footnote w:id="40">
    <w:p w:rsidR="00E24259" w:rsidRPr="00202233" w:rsidRDefault="00E24259">
      <w:pPr>
        <w:pStyle w:val="a7"/>
        <w:rPr>
          <w:sz w:val="16"/>
          <w:szCs w:val="16"/>
        </w:rPr>
      </w:pPr>
      <w:r w:rsidRPr="00202233">
        <w:rPr>
          <w:rStyle w:val="a9"/>
          <w:sz w:val="16"/>
          <w:szCs w:val="16"/>
        </w:rPr>
        <w:footnoteRef/>
      </w:r>
      <w:r w:rsidRPr="00202233">
        <w:rPr>
          <w:sz w:val="16"/>
          <w:szCs w:val="16"/>
        </w:rPr>
        <w:t xml:space="preserve"> </w:t>
      </w:r>
      <w:proofErr w:type="spellStart"/>
      <w:r w:rsidRPr="00202233">
        <w:rPr>
          <w:rFonts w:cs="Tahoma"/>
          <w:sz w:val="16"/>
          <w:szCs w:val="16"/>
        </w:rPr>
        <w:t>Вавулин</w:t>
      </w:r>
      <w:proofErr w:type="spellEnd"/>
      <w:r w:rsidRPr="00202233">
        <w:rPr>
          <w:rFonts w:cs="Tahoma"/>
          <w:sz w:val="16"/>
          <w:szCs w:val="16"/>
        </w:rPr>
        <w:t xml:space="preserve"> Д.А.Раскрытие информации акционерными обществами. </w:t>
      </w:r>
      <w:proofErr w:type="spellStart"/>
      <w:r w:rsidRPr="00202233">
        <w:rPr>
          <w:rFonts w:cs="Tahoma"/>
          <w:sz w:val="16"/>
          <w:szCs w:val="16"/>
        </w:rPr>
        <w:t>Юстицинформ</w:t>
      </w:r>
      <w:proofErr w:type="spellEnd"/>
      <w:r w:rsidRPr="00202233">
        <w:rPr>
          <w:rFonts w:cs="Tahoma"/>
          <w:sz w:val="16"/>
          <w:szCs w:val="16"/>
        </w:rPr>
        <w:t>, 2012.</w:t>
      </w:r>
    </w:p>
  </w:footnote>
  <w:footnote w:id="41">
    <w:p w:rsidR="00E24259" w:rsidRPr="00246F12" w:rsidRDefault="00E24259" w:rsidP="00624E91">
      <w:pPr>
        <w:rPr>
          <w:sz w:val="16"/>
          <w:szCs w:val="16"/>
        </w:rPr>
      </w:pPr>
      <w:r w:rsidRPr="00246F12">
        <w:rPr>
          <w:rStyle w:val="a9"/>
          <w:sz w:val="16"/>
          <w:szCs w:val="16"/>
        </w:rPr>
        <w:footnoteRef/>
      </w:r>
      <w:r w:rsidRPr="00246F12">
        <w:rPr>
          <w:sz w:val="16"/>
          <w:szCs w:val="16"/>
        </w:rPr>
        <w:t xml:space="preserve"> Официальный сайт Комиссии по ценным бумагам и биржам США [Электронный ресурс]: </w:t>
      </w:r>
      <w:proofErr w:type="spellStart"/>
      <w:r w:rsidRPr="00246F12">
        <w:rPr>
          <w:sz w:val="16"/>
          <w:szCs w:val="16"/>
        </w:rPr>
        <w:t>Form</w:t>
      </w:r>
      <w:proofErr w:type="spellEnd"/>
      <w:r w:rsidRPr="00246F12">
        <w:rPr>
          <w:sz w:val="16"/>
          <w:szCs w:val="16"/>
        </w:rPr>
        <w:t xml:space="preserve"> 8-</w:t>
      </w:r>
      <w:r w:rsidRPr="00246F12">
        <w:rPr>
          <w:sz w:val="16"/>
          <w:szCs w:val="16"/>
          <w:lang w:val="en-US"/>
        </w:rPr>
        <w:t>K</w:t>
      </w:r>
      <w:r w:rsidRPr="00246F12">
        <w:rPr>
          <w:sz w:val="16"/>
          <w:szCs w:val="16"/>
        </w:rPr>
        <w:t xml:space="preserve">. – Режим доступа: </w:t>
      </w:r>
      <w:hyperlink r:id="rId21" w:history="1">
        <w:r w:rsidRPr="00246F12">
          <w:rPr>
            <w:rStyle w:val="aa"/>
            <w:rFonts w:cs="Tahoma"/>
            <w:sz w:val="16"/>
            <w:szCs w:val="16"/>
          </w:rPr>
          <w:t>http://www.sec.gov/answers/form8k.htm</w:t>
        </w:r>
      </w:hyperlink>
      <w:r w:rsidRPr="00246F12">
        <w:rPr>
          <w:sz w:val="16"/>
          <w:szCs w:val="16"/>
        </w:rPr>
        <w:t xml:space="preserve">, свободный. – </w:t>
      </w:r>
      <w:proofErr w:type="spellStart"/>
      <w:r w:rsidRPr="00246F12">
        <w:rPr>
          <w:sz w:val="16"/>
          <w:szCs w:val="16"/>
        </w:rPr>
        <w:t>Загл</w:t>
      </w:r>
      <w:proofErr w:type="spellEnd"/>
      <w:r w:rsidRPr="00246F12">
        <w:rPr>
          <w:sz w:val="16"/>
          <w:szCs w:val="16"/>
        </w:rPr>
        <w:t>. с экрана.</w:t>
      </w:r>
    </w:p>
    <w:p w:rsidR="00E24259" w:rsidRPr="00E045E2" w:rsidRDefault="00E24259">
      <w:pPr>
        <w:pStyle w:val="a7"/>
        <w:rPr>
          <w:rFonts w:ascii="Tahoma" w:hAnsi="Tahoma" w:cs="Tahoma"/>
          <w:sz w:val="16"/>
          <w:szCs w:val="16"/>
        </w:rPr>
      </w:pPr>
    </w:p>
  </w:footnote>
  <w:footnote w:id="42">
    <w:p w:rsidR="00E24259" w:rsidRPr="00D0066D" w:rsidRDefault="00E24259" w:rsidP="00CF13F5">
      <w:pPr>
        <w:pStyle w:val="a7"/>
        <w:jc w:val="both"/>
        <w:rPr>
          <w:sz w:val="16"/>
          <w:szCs w:val="16"/>
        </w:rPr>
      </w:pPr>
      <w:r w:rsidRPr="00D0066D">
        <w:rPr>
          <w:rStyle w:val="a9"/>
          <w:sz w:val="16"/>
          <w:szCs w:val="16"/>
        </w:rPr>
        <w:footnoteRef/>
      </w:r>
      <w:r w:rsidRPr="00D0066D">
        <w:rPr>
          <w:sz w:val="16"/>
          <w:szCs w:val="16"/>
        </w:rPr>
        <w:t xml:space="preserve"> Сайт </w:t>
      </w:r>
      <w:r w:rsidRPr="00D0066D">
        <w:rPr>
          <w:sz w:val="16"/>
          <w:szCs w:val="16"/>
          <w:lang w:val="en-US"/>
        </w:rPr>
        <w:t>Cornell</w:t>
      </w:r>
      <w:r w:rsidRPr="00D0066D">
        <w:rPr>
          <w:sz w:val="16"/>
          <w:szCs w:val="16"/>
        </w:rPr>
        <w:t xml:space="preserve"> </w:t>
      </w:r>
      <w:r w:rsidRPr="00D0066D">
        <w:rPr>
          <w:sz w:val="16"/>
          <w:szCs w:val="16"/>
          <w:lang w:val="en-US"/>
        </w:rPr>
        <w:t>University</w:t>
      </w:r>
      <w:r w:rsidRPr="00D0066D">
        <w:rPr>
          <w:sz w:val="16"/>
          <w:szCs w:val="16"/>
        </w:rPr>
        <w:t xml:space="preserve"> </w:t>
      </w:r>
      <w:r w:rsidRPr="00D0066D">
        <w:rPr>
          <w:sz w:val="16"/>
          <w:szCs w:val="16"/>
          <w:lang w:val="en-US"/>
        </w:rPr>
        <w:t>Law</w:t>
      </w:r>
      <w:r w:rsidRPr="00D0066D">
        <w:rPr>
          <w:sz w:val="16"/>
          <w:szCs w:val="16"/>
        </w:rPr>
        <w:t xml:space="preserve"> </w:t>
      </w:r>
      <w:r w:rsidRPr="00D0066D">
        <w:rPr>
          <w:sz w:val="16"/>
          <w:szCs w:val="16"/>
          <w:lang w:val="en-US"/>
        </w:rPr>
        <w:t>School</w:t>
      </w:r>
      <w:r w:rsidRPr="00D0066D">
        <w:rPr>
          <w:sz w:val="16"/>
          <w:szCs w:val="16"/>
        </w:rPr>
        <w:t xml:space="preserve"> [Электронный ресурс]: </w:t>
      </w:r>
      <w:proofErr w:type="gramStart"/>
      <w:r w:rsidRPr="00D0066D">
        <w:rPr>
          <w:sz w:val="16"/>
          <w:szCs w:val="16"/>
          <w:lang w:val="en-US"/>
        </w:rPr>
        <w:t>Securities</w:t>
      </w:r>
      <w:r w:rsidRPr="00D0066D">
        <w:rPr>
          <w:sz w:val="16"/>
          <w:szCs w:val="16"/>
        </w:rPr>
        <w:t xml:space="preserve"> </w:t>
      </w:r>
      <w:r w:rsidRPr="00D0066D">
        <w:rPr>
          <w:sz w:val="16"/>
          <w:szCs w:val="16"/>
          <w:lang w:val="en-US"/>
        </w:rPr>
        <w:t>Exchange</w:t>
      </w:r>
      <w:r w:rsidRPr="00D0066D">
        <w:rPr>
          <w:sz w:val="16"/>
          <w:szCs w:val="16"/>
        </w:rPr>
        <w:t xml:space="preserve"> </w:t>
      </w:r>
      <w:r w:rsidRPr="00D0066D">
        <w:rPr>
          <w:sz w:val="16"/>
          <w:szCs w:val="16"/>
          <w:lang w:val="en-US"/>
        </w:rPr>
        <w:t>Act</w:t>
      </w:r>
      <w:r w:rsidRPr="00D0066D">
        <w:rPr>
          <w:sz w:val="16"/>
          <w:szCs w:val="16"/>
        </w:rPr>
        <w:t xml:space="preserve"> </w:t>
      </w:r>
      <w:r w:rsidRPr="00D0066D">
        <w:rPr>
          <w:sz w:val="16"/>
          <w:szCs w:val="16"/>
          <w:lang w:val="en-US"/>
        </w:rPr>
        <w:t>of</w:t>
      </w:r>
      <w:r w:rsidRPr="00D0066D">
        <w:rPr>
          <w:sz w:val="16"/>
          <w:szCs w:val="16"/>
        </w:rPr>
        <w:t xml:space="preserve"> 1934.</w:t>
      </w:r>
      <w:proofErr w:type="gramEnd"/>
      <w:r w:rsidRPr="00D0066D">
        <w:rPr>
          <w:sz w:val="16"/>
          <w:szCs w:val="16"/>
        </w:rPr>
        <w:t xml:space="preserve"> – Режим доступа: </w:t>
      </w:r>
      <w:hyperlink r:id="rId22" w:history="1">
        <w:r w:rsidRPr="00D0066D">
          <w:rPr>
            <w:rStyle w:val="aa"/>
            <w:sz w:val="16"/>
            <w:szCs w:val="16"/>
            <w:lang w:val="en-US"/>
          </w:rPr>
          <w:t>http</w:t>
        </w:r>
        <w:r w:rsidRPr="00D0066D">
          <w:rPr>
            <w:rStyle w:val="aa"/>
            <w:sz w:val="16"/>
            <w:szCs w:val="16"/>
          </w:rPr>
          <w:t>://</w:t>
        </w:r>
        <w:r w:rsidRPr="00D0066D">
          <w:rPr>
            <w:rStyle w:val="aa"/>
            <w:sz w:val="16"/>
            <w:szCs w:val="16"/>
            <w:lang w:val="en-US"/>
          </w:rPr>
          <w:t>www</w:t>
        </w:r>
        <w:r w:rsidRPr="00D0066D">
          <w:rPr>
            <w:rStyle w:val="aa"/>
            <w:sz w:val="16"/>
            <w:szCs w:val="16"/>
          </w:rPr>
          <w:t>.</w:t>
        </w:r>
        <w:r w:rsidRPr="00D0066D">
          <w:rPr>
            <w:rStyle w:val="aa"/>
            <w:sz w:val="16"/>
            <w:szCs w:val="16"/>
            <w:lang w:val="en-US"/>
          </w:rPr>
          <w:t>law</w:t>
        </w:r>
        <w:r w:rsidRPr="00D0066D">
          <w:rPr>
            <w:rStyle w:val="aa"/>
            <w:sz w:val="16"/>
            <w:szCs w:val="16"/>
          </w:rPr>
          <w:t>.</w:t>
        </w:r>
        <w:proofErr w:type="spellStart"/>
        <w:r w:rsidRPr="00D0066D">
          <w:rPr>
            <w:rStyle w:val="aa"/>
            <w:sz w:val="16"/>
            <w:szCs w:val="16"/>
            <w:lang w:val="en-US"/>
          </w:rPr>
          <w:t>cornell</w:t>
        </w:r>
        <w:proofErr w:type="spellEnd"/>
        <w:r w:rsidRPr="00D0066D">
          <w:rPr>
            <w:rStyle w:val="aa"/>
            <w:sz w:val="16"/>
            <w:szCs w:val="16"/>
          </w:rPr>
          <w:t>.</w:t>
        </w:r>
        <w:proofErr w:type="spellStart"/>
        <w:r w:rsidRPr="00D0066D">
          <w:rPr>
            <w:rStyle w:val="aa"/>
            <w:sz w:val="16"/>
            <w:szCs w:val="16"/>
            <w:lang w:val="en-US"/>
          </w:rPr>
          <w:t>edu</w:t>
        </w:r>
        <w:proofErr w:type="spellEnd"/>
        <w:r w:rsidRPr="00D0066D">
          <w:rPr>
            <w:rStyle w:val="aa"/>
            <w:sz w:val="16"/>
            <w:szCs w:val="16"/>
          </w:rPr>
          <w:t>/</w:t>
        </w:r>
        <w:proofErr w:type="spellStart"/>
        <w:r w:rsidRPr="00D0066D">
          <w:rPr>
            <w:rStyle w:val="aa"/>
            <w:sz w:val="16"/>
            <w:szCs w:val="16"/>
            <w:lang w:val="en-US"/>
          </w:rPr>
          <w:t>wex</w:t>
        </w:r>
        <w:proofErr w:type="spellEnd"/>
        <w:r w:rsidRPr="00D0066D">
          <w:rPr>
            <w:rStyle w:val="aa"/>
            <w:sz w:val="16"/>
            <w:szCs w:val="16"/>
          </w:rPr>
          <w:t>/</w:t>
        </w:r>
        <w:r w:rsidRPr="00D0066D">
          <w:rPr>
            <w:rStyle w:val="aa"/>
            <w:sz w:val="16"/>
            <w:szCs w:val="16"/>
            <w:lang w:val="en-US"/>
          </w:rPr>
          <w:t>securities</w:t>
        </w:r>
        <w:r w:rsidRPr="00D0066D">
          <w:rPr>
            <w:rStyle w:val="aa"/>
            <w:sz w:val="16"/>
            <w:szCs w:val="16"/>
          </w:rPr>
          <w:t>_</w:t>
        </w:r>
        <w:r w:rsidRPr="00D0066D">
          <w:rPr>
            <w:rStyle w:val="aa"/>
            <w:sz w:val="16"/>
            <w:szCs w:val="16"/>
            <w:lang w:val="en-US"/>
          </w:rPr>
          <w:t>exchange</w:t>
        </w:r>
        <w:r w:rsidRPr="00D0066D">
          <w:rPr>
            <w:rStyle w:val="aa"/>
            <w:sz w:val="16"/>
            <w:szCs w:val="16"/>
          </w:rPr>
          <w:t>_</w:t>
        </w:r>
        <w:r w:rsidRPr="00D0066D">
          <w:rPr>
            <w:rStyle w:val="aa"/>
            <w:sz w:val="16"/>
            <w:szCs w:val="16"/>
            <w:lang w:val="en-US"/>
          </w:rPr>
          <w:t>act</w:t>
        </w:r>
        <w:r w:rsidRPr="00D0066D">
          <w:rPr>
            <w:rStyle w:val="aa"/>
            <w:sz w:val="16"/>
            <w:szCs w:val="16"/>
          </w:rPr>
          <w:t>_</w:t>
        </w:r>
        <w:r w:rsidRPr="00D0066D">
          <w:rPr>
            <w:rStyle w:val="aa"/>
            <w:sz w:val="16"/>
            <w:szCs w:val="16"/>
            <w:lang w:val="en-US"/>
          </w:rPr>
          <w:t>of</w:t>
        </w:r>
        <w:r w:rsidRPr="00D0066D">
          <w:rPr>
            <w:rStyle w:val="aa"/>
            <w:sz w:val="16"/>
            <w:szCs w:val="16"/>
          </w:rPr>
          <w:t>_1934</w:t>
        </w:r>
      </w:hyperlink>
      <w:r w:rsidRPr="00D0066D">
        <w:rPr>
          <w:rStyle w:val="aa"/>
          <w:sz w:val="16"/>
          <w:szCs w:val="16"/>
        </w:rPr>
        <w:t xml:space="preserve">, </w:t>
      </w:r>
      <w:r w:rsidRPr="00D0066D">
        <w:rPr>
          <w:sz w:val="16"/>
          <w:szCs w:val="16"/>
        </w:rPr>
        <w:t xml:space="preserve"> свободный. – </w:t>
      </w:r>
      <w:proofErr w:type="spellStart"/>
      <w:r w:rsidRPr="00D0066D">
        <w:rPr>
          <w:sz w:val="16"/>
          <w:szCs w:val="16"/>
        </w:rPr>
        <w:t>Загл</w:t>
      </w:r>
      <w:proofErr w:type="spellEnd"/>
      <w:r w:rsidRPr="00D0066D">
        <w:rPr>
          <w:sz w:val="16"/>
          <w:szCs w:val="16"/>
        </w:rPr>
        <w:t>. с экрана.</w:t>
      </w:r>
    </w:p>
  </w:footnote>
  <w:footnote w:id="43">
    <w:p w:rsidR="00E24259" w:rsidRPr="00AE6FE5" w:rsidRDefault="00E24259" w:rsidP="00131BA7">
      <w:pPr>
        <w:pStyle w:val="a7"/>
        <w:jc w:val="both"/>
      </w:pPr>
      <w:r w:rsidRPr="00D0066D">
        <w:rPr>
          <w:rStyle w:val="a9"/>
          <w:sz w:val="16"/>
          <w:szCs w:val="16"/>
        </w:rPr>
        <w:footnoteRef/>
      </w:r>
      <w:r w:rsidRPr="00D0066D">
        <w:rPr>
          <w:sz w:val="16"/>
          <w:szCs w:val="16"/>
        </w:rPr>
        <w:t xml:space="preserve"> Официальный сайт Комиссии по ценным бумагам и биржам США [Электронный ресурс]: </w:t>
      </w:r>
      <w:proofErr w:type="gramStart"/>
      <w:r w:rsidRPr="00D0066D">
        <w:rPr>
          <w:sz w:val="16"/>
          <w:szCs w:val="16"/>
          <w:lang w:val="en-US"/>
        </w:rPr>
        <w:t>Securities</w:t>
      </w:r>
      <w:r w:rsidRPr="00D0066D">
        <w:rPr>
          <w:sz w:val="16"/>
          <w:szCs w:val="16"/>
        </w:rPr>
        <w:t xml:space="preserve"> </w:t>
      </w:r>
      <w:r w:rsidRPr="00D0066D">
        <w:rPr>
          <w:sz w:val="16"/>
          <w:szCs w:val="16"/>
          <w:lang w:val="en-US"/>
        </w:rPr>
        <w:t>and</w:t>
      </w:r>
      <w:r w:rsidRPr="00D0066D">
        <w:rPr>
          <w:sz w:val="16"/>
          <w:szCs w:val="16"/>
        </w:rPr>
        <w:t xml:space="preserve"> </w:t>
      </w:r>
      <w:r w:rsidRPr="00D0066D">
        <w:rPr>
          <w:sz w:val="16"/>
          <w:szCs w:val="16"/>
          <w:lang w:val="en-US"/>
        </w:rPr>
        <w:t>Exchange</w:t>
      </w:r>
      <w:r w:rsidRPr="00D0066D">
        <w:rPr>
          <w:sz w:val="16"/>
          <w:szCs w:val="16"/>
        </w:rPr>
        <w:t xml:space="preserve"> </w:t>
      </w:r>
      <w:r w:rsidRPr="00D0066D">
        <w:rPr>
          <w:sz w:val="16"/>
          <w:szCs w:val="16"/>
          <w:lang w:val="en-US"/>
        </w:rPr>
        <w:t>Commission</w:t>
      </w:r>
      <w:r w:rsidRPr="00D0066D">
        <w:rPr>
          <w:sz w:val="16"/>
          <w:szCs w:val="16"/>
        </w:rPr>
        <w:t xml:space="preserve"> </w:t>
      </w:r>
      <w:r w:rsidRPr="00D0066D">
        <w:rPr>
          <w:sz w:val="16"/>
          <w:szCs w:val="16"/>
          <w:lang w:val="en-US"/>
        </w:rPr>
        <w:t>Forms</w:t>
      </w:r>
      <w:r w:rsidRPr="00D0066D">
        <w:rPr>
          <w:sz w:val="16"/>
          <w:szCs w:val="16"/>
        </w:rPr>
        <w:t xml:space="preserve"> </w:t>
      </w:r>
      <w:r w:rsidRPr="00D0066D">
        <w:rPr>
          <w:sz w:val="16"/>
          <w:szCs w:val="16"/>
          <w:lang w:val="en-US"/>
        </w:rPr>
        <w:t>List</w:t>
      </w:r>
      <w:r w:rsidRPr="00D0066D">
        <w:rPr>
          <w:sz w:val="16"/>
          <w:szCs w:val="16"/>
        </w:rPr>
        <w:t>.</w:t>
      </w:r>
      <w:proofErr w:type="gramEnd"/>
      <w:r w:rsidRPr="00D0066D">
        <w:rPr>
          <w:sz w:val="16"/>
          <w:szCs w:val="16"/>
        </w:rPr>
        <w:t xml:space="preserve"> – Режим доступа: </w:t>
      </w:r>
      <w:hyperlink r:id="rId23" w:history="1">
        <w:r w:rsidRPr="00D0066D">
          <w:rPr>
            <w:rStyle w:val="aa"/>
            <w:sz w:val="16"/>
            <w:szCs w:val="16"/>
            <w:lang w:val="en-US"/>
          </w:rPr>
          <w:t>http</w:t>
        </w:r>
        <w:r w:rsidRPr="00D0066D">
          <w:rPr>
            <w:rStyle w:val="aa"/>
            <w:sz w:val="16"/>
            <w:szCs w:val="16"/>
          </w:rPr>
          <w:t>://</w:t>
        </w:r>
        <w:r w:rsidRPr="00D0066D">
          <w:rPr>
            <w:rStyle w:val="aa"/>
            <w:sz w:val="16"/>
            <w:szCs w:val="16"/>
            <w:lang w:val="en-US"/>
          </w:rPr>
          <w:t>www</w:t>
        </w:r>
        <w:r w:rsidRPr="00D0066D">
          <w:rPr>
            <w:rStyle w:val="aa"/>
            <w:sz w:val="16"/>
            <w:szCs w:val="16"/>
          </w:rPr>
          <w:t>.</w:t>
        </w:r>
        <w:r w:rsidRPr="00D0066D">
          <w:rPr>
            <w:rStyle w:val="aa"/>
            <w:sz w:val="16"/>
            <w:szCs w:val="16"/>
            <w:lang w:val="en-US"/>
          </w:rPr>
          <w:t>sec</w:t>
        </w:r>
        <w:r w:rsidRPr="00D0066D">
          <w:rPr>
            <w:rStyle w:val="aa"/>
            <w:sz w:val="16"/>
            <w:szCs w:val="16"/>
          </w:rPr>
          <w:t>.</w:t>
        </w:r>
        <w:proofErr w:type="spellStart"/>
        <w:r w:rsidRPr="00D0066D">
          <w:rPr>
            <w:rStyle w:val="aa"/>
            <w:sz w:val="16"/>
            <w:szCs w:val="16"/>
            <w:lang w:val="en-US"/>
          </w:rPr>
          <w:t>gov</w:t>
        </w:r>
        <w:proofErr w:type="spellEnd"/>
        <w:r w:rsidRPr="00D0066D">
          <w:rPr>
            <w:rStyle w:val="aa"/>
            <w:sz w:val="16"/>
            <w:szCs w:val="16"/>
          </w:rPr>
          <w:t>/</w:t>
        </w:r>
        <w:r w:rsidRPr="00D0066D">
          <w:rPr>
            <w:rStyle w:val="aa"/>
            <w:sz w:val="16"/>
            <w:szCs w:val="16"/>
            <w:lang w:val="en-US"/>
          </w:rPr>
          <w:t>about</w:t>
        </w:r>
        <w:r w:rsidRPr="00D0066D">
          <w:rPr>
            <w:rStyle w:val="aa"/>
            <w:sz w:val="16"/>
            <w:szCs w:val="16"/>
          </w:rPr>
          <w:t>/</w:t>
        </w:r>
        <w:r w:rsidRPr="00D0066D">
          <w:rPr>
            <w:rStyle w:val="aa"/>
            <w:sz w:val="16"/>
            <w:szCs w:val="16"/>
            <w:lang w:val="en-US"/>
          </w:rPr>
          <w:t>forms</w:t>
        </w:r>
        <w:r w:rsidRPr="00D0066D">
          <w:rPr>
            <w:rStyle w:val="aa"/>
            <w:sz w:val="16"/>
            <w:szCs w:val="16"/>
          </w:rPr>
          <w:t>/</w:t>
        </w:r>
        <w:proofErr w:type="spellStart"/>
        <w:r w:rsidRPr="00D0066D">
          <w:rPr>
            <w:rStyle w:val="aa"/>
            <w:sz w:val="16"/>
            <w:szCs w:val="16"/>
            <w:lang w:val="en-US"/>
          </w:rPr>
          <w:t>secforms</w:t>
        </w:r>
        <w:proofErr w:type="spellEnd"/>
        <w:r w:rsidRPr="00D0066D">
          <w:rPr>
            <w:rStyle w:val="aa"/>
            <w:sz w:val="16"/>
            <w:szCs w:val="16"/>
          </w:rPr>
          <w:t>.</w:t>
        </w:r>
        <w:proofErr w:type="spellStart"/>
        <w:r w:rsidRPr="00D0066D">
          <w:rPr>
            <w:rStyle w:val="aa"/>
            <w:sz w:val="16"/>
            <w:szCs w:val="16"/>
            <w:lang w:val="en-US"/>
          </w:rPr>
          <w:t>htm</w:t>
        </w:r>
        <w:proofErr w:type="spellEnd"/>
      </w:hyperlink>
      <w:r w:rsidRPr="00D0066D">
        <w:rPr>
          <w:sz w:val="16"/>
          <w:szCs w:val="16"/>
        </w:rPr>
        <w:t xml:space="preserve"> , свободный. – </w:t>
      </w:r>
      <w:proofErr w:type="spellStart"/>
      <w:r w:rsidRPr="00D0066D">
        <w:rPr>
          <w:sz w:val="16"/>
          <w:szCs w:val="16"/>
        </w:rPr>
        <w:t>Загл</w:t>
      </w:r>
      <w:proofErr w:type="spellEnd"/>
      <w:r w:rsidRPr="00D0066D">
        <w:rPr>
          <w:sz w:val="16"/>
          <w:szCs w:val="16"/>
        </w:rPr>
        <w:t>. с экрана.</w:t>
      </w:r>
      <w:r>
        <w:t xml:space="preserve"> </w:t>
      </w:r>
    </w:p>
  </w:footnote>
  <w:footnote w:id="44">
    <w:p w:rsidR="00E24259" w:rsidRPr="00FB59A1" w:rsidRDefault="00E24259" w:rsidP="00FB59A1">
      <w:pPr>
        <w:pStyle w:val="a7"/>
        <w:jc w:val="both"/>
        <w:rPr>
          <w:sz w:val="16"/>
          <w:szCs w:val="16"/>
        </w:rPr>
      </w:pPr>
      <w:r w:rsidRPr="00FB59A1">
        <w:rPr>
          <w:rStyle w:val="a9"/>
          <w:sz w:val="16"/>
          <w:szCs w:val="16"/>
        </w:rPr>
        <w:footnoteRef/>
      </w:r>
      <w:r w:rsidRPr="00FB59A1">
        <w:rPr>
          <w:sz w:val="16"/>
          <w:szCs w:val="16"/>
        </w:rPr>
        <w:t xml:space="preserve"> Официальный сайт Федеральной службы по финансовым рынкам России [Электронный ресурс]: Агентства, уполномоченные на опубликование информации эмитентов эмиссионных ценных бумаг в ленте новостей. – Режим доступа: </w:t>
      </w:r>
      <w:hyperlink r:id="rId24" w:history="1">
        <w:r w:rsidRPr="00FB59A1">
          <w:rPr>
            <w:rStyle w:val="aa"/>
            <w:sz w:val="16"/>
            <w:szCs w:val="16"/>
            <w:lang w:val="en-US"/>
          </w:rPr>
          <w:t>http</w:t>
        </w:r>
        <w:r w:rsidRPr="00FB59A1">
          <w:rPr>
            <w:rStyle w:val="aa"/>
            <w:sz w:val="16"/>
            <w:szCs w:val="16"/>
          </w:rPr>
          <w:t>://</w:t>
        </w:r>
        <w:r w:rsidRPr="00FB59A1">
          <w:rPr>
            <w:rStyle w:val="aa"/>
            <w:sz w:val="16"/>
            <w:szCs w:val="16"/>
            <w:lang w:val="en-US"/>
          </w:rPr>
          <w:t>www</w:t>
        </w:r>
        <w:r w:rsidRPr="00FB59A1">
          <w:rPr>
            <w:rStyle w:val="aa"/>
            <w:sz w:val="16"/>
            <w:szCs w:val="16"/>
          </w:rPr>
          <w:t>.</w:t>
        </w:r>
        <w:proofErr w:type="spellStart"/>
        <w:r w:rsidRPr="00FB59A1">
          <w:rPr>
            <w:rStyle w:val="aa"/>
            <w:sz w:val="16"/>
            <w:szCs w:val="16"/>
            <w:lang w:val="en-US"/>
          </w:rPr>
          <w:t>fcsm</w:t>
        </w:r>
        <w:proofErr w:type="spellEnd"/>
        <w:r w:rsidRPr="00FB59A1">
          <w:rPr>
            <w:rStyle w:val="aa"/>
            <w:sz w:val="16"/>
            <w:szCs w:val="16"/>
          </w:rPr>
          <w:t>.</w:t>
        </w:r>
        <w:proofErr w:type="spellStart"/>
        <w:r w:rsidRPr="00FB59A1">
          <w:rPr>
            <w:rStyle w:val="aa"/>
            <w:sz w:val="16"/>
            <w:szCs w:val="16"/>
            <w:lang w:val="en-US"/>
          </w:rPr>
          <w:t>ru</w:t>
        </w:r>
        <w:proofErr w:type="spellEnd"/>
        <w:r w:rsidRPr="00FB59A1">
          <w:rPr>
            <w:rStyle w:val="aa"/>
            <w:sz w:val="16"/>
            <w:szCs w:val="16"/>
          </w:rPr>
          <w:t>/</w:t>
        </w:r>
        <w:proofErr w:type="spellStart"/>
        <w:r w:rsidRPr="00FB59A1">
          <w:rPr>
            <w:rStyle w:val="aa"/>
            <w:sz w:val="16"/>
            <w:szCs w:val="16"/>
            <w:lang w:val="en-US"/>
          </w:rPr>
          <w:t>ru</w:t>
        </w:r>
        <w:proofErr w:type="spellEnd"/>
        <w:r w:rsidRPr="00FB59A1">
          <w:rPr>
            <w:rStyle w:val="aa"/>
            <w:sz w:val="16"/>
            <w:szCs w:val="16"/>
          </w:rPr>
          <w:t>/</w:t>
        </w:r>
        <w:r w:rsidRPr="00FB59A1">
          <w:rPr>
            <w:rStyle w:val="aa"/>
            <w:sz w:val="16"/>
            <w:szCs w:val="16"/>
            <w:lang w:val="en-US"/>
          </w:rPr>
          <w:t>contributors</w:t>
        </w:r>
        <w:r w:rsidRPr="00FB59A1">
          <w:rPr>
            <w:rStyle w:val="aa"/>
            <w:sz w:val="16"/>
            <w:szCs w:val="16"/>
          </w:rPr>
          <w:t>/</w:t>
        </w:r>
        <w:proofErr w:type="spellStart"/>
        <w:r w:rsidRPr="00FB59A1">
          <w:rPr>
            <w:rStyle w:val="aa"/>
            <w:sz w:val="16"/>
            <w:szCs w:val="16"/>
            <w:lang w:val="en-US"/>
          </w:rPr>
          <w:t>financialmarket</w:t>
        </w:r>
        <w:proofErr w:type="spellEnd"/>
        <w:r w:rsidRPr="00FB59A1">
          <w:rPr>
            <w:rStyle w:val="aa"/>
            <w:sz w:val="16"/>
            <w:szCs w:val="16"/>
          </w:rPr>
          <w:t>/</w:t>
        </w:r>
        <w:r w:rsidRPr="00FB59A1">
          <w:rPr>
            <w:rStyle w:val="aa"/>
            <w:sz w:val="16"/>
            <w:szCs w:val="16"/>
            <w:lang w:val="en-US"/>
          </w:rPr>
          <w:t>emitters</w:t>
        </w:r>
        <w:r w:rsidRPr="00FB59A1">
          <w:rPr>
            <w:rStyle w:val="aa"/>
            <w:sz w:val="16"/>
            <w:szCs w:val="16"/>
          </w:rPr>
          <w:t>/</w:t>
        </w:r>
        <w:proofErr w:type="spellStart"/>
        <w:r w:rsidRPr="00FB59A1">
          <w:rPr>
            <w:rStyle w:val="aa"/>
            <w:sz w:val="16"/>
            <w:szCs w:val="16"/>
            <w:lang w:val="en-US"/>
          </w:rPr>
          <w:t>inf</w:t>
        </w:r>
        <w:proofErr w:type="spellEnd"/>
        <w:r w:rsidRPr="00FB59A1">
          <w:rPr>
            <w:rStyle w:val="aa"/>
            <w:sz w:val="16"/>
            <w:szCs w:val="16"/>
          </w:rPr>
          <w:t>_</w:t>
        </w:r>
        <w:r w:rsidRPr="00FB59A1">
          <w:rPr>
            <w:rStyle w:val="aa"/>
            <w:sz w:val="16"/>
            <w:szCs w:val="16"/>
            <w:lang w:val="en-US"/>
          </w:rPr>
          <w:t>open</w:t>
        </w:r>
        <w:r w:rsidRPr="00FB59A1">
          <w:rPr>
            <w:rStyle w:val="aa"/>
            <w:sz w:val="16"/>
            <w:szCs w:val="16"/>
          </w:rPr>
          <w:t>/</w:t>
        </w:r>
      </w:hyperlink>
      <w:r w:rsidRPr="00FB59A1">
        <w:rPr>
          <w:sz w:val="16"/>
          <w:szCs w:val="16"/>
        </w:rPr>
        <w:t xml:space="preserve"> , свободный. – </w:t>
      </w:r>
      <w:proofErr w:type="spellStart"/>
      <w:r w:rsidRPr="00FB59A1">
        <w:rPr>
          <w:sz w:val="16"/>
          <w:szCs w:val="16"/>
        </w:rPr>
        <w:t>Загл</w:t>
      </w:r>
      <w:proofErr w:type="spellEnd"/>
      <w:r w:rsidRPr="00FB59A1">
        <w:rPr>
          <w:sz w:val="16"/>
          <w:szCs w:val="16"/>
        </w:rPr>
        <w:t xml:space="preserve">. с экрана.  </w:t>
      </w:r>
    </w:p>
  </w:footnote>
  <w:footnote w:id="45">
    <w:p w:rsidR="00E24259" w:rsidRPr="00FB59A1" w:rsidRDefault="00E24259" w:rsidP="00FB59A1">
      <w:pPr>
        <w:pStyle w:val="a7"/>
        <w:jc w:val="both"/>
        <w:rPr>
          <w:sz w:val="16"/>
          <w:szCs w:val="16"/>
        </w:rPr>
      </w:pPr>
      <w:r w:rsidRPr="00FB59A1">
        <w:rPr>
          <w:rStyle w:val="a9"/>
          <w:sz w:val="16"/>
          <w:szCs w:val="16"/>
        </w:rPr>
        <w:footnoteRef/>
      </w:r>
      <w:r w:rsidRPr="00FB59A1">
        <w:rPr>
          <w:sz w:val="16"/>
          <w:szCs w:val="16"/>
        </w:rPr>
        <w:t xml:space="preserve"> </w:t>
      </w:r>
      <w:proofErr w:type="spellStart"/>
      <w:r w:rsidRPr="00FB59A1">
        <w:rPr>
          <w:rFonts w:cs="Tahoma"/>
          <w:sz w:val="16"/>
          <w:szCs w:val="16"/>
        </w:rPr>
        <w:t>Вавулин</w:t>
      </w:r>
      <w:proofErr w:type="spellEnd"/>
      <w:r w:rsidRPr="00FB59A1">
        <w:rPr>
          <w:rFonts w:cs="Tahoma"/>
          <w:sz w:val="16"/>
          <w:szCs w:val="16"/>
        </w:rPr>
        <w:t xml:space="preserve"> Д.А.Раскрытие информации акционерными обществами. </w:t>
      </w:r>
      <w:proofErr w:type="spellStart"/>
      <w:r w:rsidRPr="00FB59A1">
        <w:rPr>
          <w:rFonts w:cs="Tahoma"/>
          <w:sz w:val="16"/>
          <w:szCs w:val="16"/>
        </w:rPr>
        <w:t>Юстицинформ</w:t>
      </w:r>
      <w:proofErr w:type="spellEnd"/>
      <w:r w:rsidRPr="00FB59A1">
        <w:rPr>
          <w:rFonts w:cs="Tahoma"/>
          <w:sz w:val="16"/>
          <w:szCs w:val="16"/>
        </w:rPr>
        <w:t>, 2012.</w:t>
      </w:r>
      <w:r w:rsidRPr="00FB59A1">
        <w:rPr>
          <w:rFonts w:ascii="Tahoma" w:hAnsi="Tahoma" w:cs="Tahoma"/>
          <w:sz w:val="16"/>
          <w:szCs w:val="16"/>
        </w:rPr>
        <w:t xml:space="preserve"> </w:t>
      </w:r>
    </w:p>
  </w:footnote>
  <w:footnote w:id="46">
    <w:p w:rsidR="00E24259" w:rsidRPr="004C592F" w:rsidRDefault="00E24259" w:rsidP="00FB59A1">
      <w:pPr>
        <w:pStyle w:val="a7"/>
        <w:jc w:val="both"/>
        <w:rPr>
          <w:sz w:val="16"/>
          <w:szCs w:val="16"/>
        </w:rPr>
      </w:pPr>
      <w:r w:rsidRPr="00FB59A1">
        <w:rPr>
          <w:rStyle w:val="a9"/>
          <w:sz w:val="16"/>
          <w:szCs w:val="16"/>
        </w:rPr>
        <w:footnoteRef/>
      </w:r>
      <w:r w:rsidRPr="00FB59A1">
        <w:rPr>
          <w:sz w:val="16"/>
          <w:szCs w:val="16"/>
        </w:rPr>
        <w:t xml:space="preserve"> Сайт ФКЦБ России [Электронный ресурс]: Регламент взаимодействия лиц, раскрывающих информацию об эмитенте эмиссионных ценных бумаг, и уполномоченных информационных агентств. – Режим доступа: </w:t>
      </w:r>
      <w:hyperlink r:id="rId25" w:history="1">
        <w:r w:rsidRPr="00FB59A1">
          <w:rPr>
            <w:rStyle w:val="aa"/>
            <w:sz w:val="16"/>
            <w:szCs w:val="16"/>
          </w:rPr>
          <w:t>http://fkcb.ffms.ru/catalog.asp?ob_no=3142</w:t>
        </w:r>
      </w:hyperlink>
      <w:r w:rsidRPr="00FB59A1">
        <w:rPr>
          <w:sz w:val="16"/>
          <w:szCs w:val="16"/>
        </w:rPr>
        <w:t xml:space="preserve">, свободный. – </w:t>
      </w:r>
      <w:proofErr w:type="spellStart"/>
      <w:r w:rsidRPr="00FB59A1">
        <w:rPr>
          <w:sz w:val="16"/>
          <w:szCs w:val="16"/>
        </w:rPr>
        <w:t>Загл</w:t>
      </w:r>
      <w:proofErr w:type="spellEnd"/>
      <w:r w:rsidRPr="00FB59A1">
        <w:rPr>
          <w:sz w:val="16"/>
          <w:szCs w:val="16"/>
        </w:rPr>
        <w:t>. с экрана.</w:t>
      </w:r>
    </w:p>
  </w:footnote>
  <w:footnote w:id="47">
    <w:p w:rsidR="00E24259" w:rsidRPr="00FB59A1" w:rsidRDefault="00E24259" w:rsidP="00053144">
      <w:pPr>
        <w:pStyle w:val="a7"/>
        <w:jc w:val="both"/>
        <w:rPr>
          <w:sz w:val="16"/>
          <w:szCs w:val="16"/>
        </w:rPr>
      </w:pPr>
      <w:r w:rsidRPr="00FB59A1">
        <w:rPr>
          <w:rStyle w:val="a9"/>
          <w:sz w:val="16"/>
          <w:szCs w:val="16"/>
        </w:rPr>
        <w:footnoteRef/>
      </w:r>
      <w:r w:rsidRPr="00FB59A1">
        <w:rPr>
          <w:sz w:val="16"/>
          <w:szCs w:val="16"/>
        </w:rPr>
        <w:t xml:space="preserve"> Григорий Колесов. Изменения процедур раскрытия информации эмитентами ценных бумаг и сделки М&amp;А. // Слияния и поглощения. № 4 (122). 2013.</w:t>
      </w:r>
    </w:p>
  </w:footnote>
  <w:footnote w:id="48">
    <w:p w:rsidR="00E24259" w:rsidRPr="00FB59A1" w:rsidRDefault="00E24259" w:rsidP="00E66D94">
      <w:pPr>
        <w:pStyle w:val="a7"/>
        <w:tabs>
          <w:tab w:val="left" w:pos="3686"/>
        </w:tabs>
        <w:jc w:val="both"/>
        <w:rPr>
          <w:sz w:val="16"/>
          <w:szCs w:val="16"/>
        </w:rPr>
      </w:pPr>
      <w:r w:rsidRPr="00FB59A1">
        <w:rPr>
          <w:rStyle w:val="a9"/>
          <w:sz w:val="16"/>
          <w:szCs w:val="16"/>
        </w:rPr>
        <w:footnoteRef/>
      </w:r>
      <w:r w:rsidRPr="00FB59A1">
        <w:rPr>
          <w:sz w:val="16"/>
          <w:szCs w:val="16"/>
        </w:rPr>
        <w:t xml:space="preserve"> Официальный сайт Комиссии по ценным бумагам и биржам США [Электронный ресурс]: </w:t>
      </w:r>
      <w:r w:rsidRPr="00FB59A1">
        <w:rPr>
          <w:sz w:val="16"/>
          <w:szCs w:val="16"/>
          <w:lang w:val="en-US"/>
        </w:rPr>
        <w:t>The</w:t>
      </w:r>
      <w:r w:rsidRPr="00FB59A1">
        <w:rPr>
          <w:sz w:val="16"/>
          <w:szCs w:val="16"/>
        </w:rPr>
        <w:t xml:space="preserve"> </w:t>
      </w:r>
      <w:r w:rsidRPr="00FB59A1">
        <w:rPr>
          <w:sz w:val="16"/>
          <w:szCs w:val="16"/>
          <w:lang w:val="en-US"/>
        </w:rPr>
        <w:t>Investor</w:t>
      </w:r>
      <w:r w:rsidRPr="00FB59A1">
        <w:rPr>
          <w:sz w:val="16"/>
          <w:szCs w:val="16"/>
        </w:rPr>
        <w:t>'</w:t>
      </w:r>
      <w:r w:rsidRPr="00FB59A1">
        <w:rPr>
          <w:sz w:val="16"/>
          <w:szCs w:val="16"/>
          <w:lang w:val="en-US"/>
        </w:rPr>
        <w:t>s</w:t>
      </w:r>
      <w:r w:rsidRPr="00FB59A1">
        <w:rPr>
          <w:sz w:val="16"/>
          <w:szCs w:val="16"/>
        </w:rPr>
        <w:t xml:space="preserve"> </w:t>
      </w:r>
      <w:r w:rsidRPr="00FB59A1">
        <w:rPr>
          <w:sz w:val="16"/>
          <w:szCs w:val="16"/>
          <w:lang w:val="en-US"/>
        </w:rPr>
        <w:t>Advocate</w:t>
      </w:r>
      <w:r w:rsidRPr="00FB59A1">
        <w:rPr>
          <w:sz w:val="16"/>
          <w:szCs w:val="16"/>
        </w:rPr>
        <w:t xml:space="preserve">: </w:t>
      </w:r>
      <w:r w:rsidRPr="00FB59A1">
        <w:rPr>
          <w:sz w:val="16"/>
          <w:szCs w:val="16"/>
          <w:lang w:val="en-US"/>
        </w:rPr>
        <w:t>How</w:t>
      </w:r>
      <w:r w:rsidRPr="00FB59A1">
        <w:rPr>
          <w:sz w:val="16"/>
          <w:szCs w:val="16"/>
        </w:rPr>
        <w:t xml:space="preserve"> </w:t>
      </w:r>
      <w:r w:rsidRPr="00FB59A1">
        <w:rPr>
          <w:sz w:val="16"/>
          <w:szCs w:val="16"/>
          <w:lang w:val="en-US"/>
        </w:rPr>
        <w:t>the</w:t>
      </w:r>
      <w:r w:rsidRPr="00FB59A1">
        <w:rPr>
          <w:sz w:val="16"/>
          <w:szCs w:val="16"/>
        </w:rPr>
        <w:t xml:space="preserve"> </w:t>
      </w:r>
      <w:r w:rsidRPr="00FB59A1">
        <w:rPr>
          <w:sz w:val="16"/>
          <w:szCs w:val="16"/>
          <w:lang w:val="en-US"/>
        </w:rPr>
        <w:t>SEC</w:t>
      </w:r>
      <w:r w:rsidRPr="00FB59A1">
        <w:rPr>
          <w:sz w:val="16"/>
          <w:szCs w:val="16"/>
        </w:rPr>
        <w:t xml:space="preserve"> </w:t>
      </w:r>
      <w:r w:rsidRPr="00FB59A1">
        <w:rPr>
          <w:sz w:val="16"/>
          <w:szCs w:val="16"/>
          <w:lang w:val="en-US"/>
        </w:rPr>
        <w:t>Protects</w:t>
      </w:r>
      <w:r w:rsidRPr="00FB59A1">
        <w:rPr>
          <w:sz w:val="16"/>
          <w:szCs w:val="16"/>
        </w:rPr>
        <w:t xml:space="preserve"> </w:t>
      </w:r>
      <w:r w:rsidRPr="00FB59A1">
        <w:rPr>
          <w:sz w:val="16"/>
          <w:szCs w:val="16"/>
          <w:lang w:val="en-US"/>
        </w:rPr>
        <w:t>Investors</w:t>
      </w:r>
      <w:r w:rsidRPr="00FB59A1">
        <w:rPr>
          <w:sz w:val="16"/>
          <w:szCs w:val="16"/>
        </w:rPr>
        <w:t xml:space="preserve">, </w:t>
      </w:r>
      <w:r w:rsidRPr="00FB59A1">
        <w:rPr>
          <w:sz w:val="16"/>
          <w:szCs w:val="16"/>
          <w:lang w:val="en-US"/>
        </w:rPr>
        <w:t>Maintains</w:t>
      </w:r>
      <w:r w:rsidRPr="00FB59A1">
        <w:rPr>
          <w:sz w:val="16"/>
          <w:szCs w:val="16"/>
        </w:rPr>
        <w:t xml:space="preserve"> </w:t>
      </w:r>
      <w:r w:rsidRPr="00FB59A1">
        <w:rPr>
          <w:sz w:val="16"/>
          <w:szCs w:val="16"/>
          <w:lang w:val="en-US"/>
        </w:rPr>
        <w:t>Market</w:t>
      </w:r>
      <w:r w:rsidRPr="00FB59A1">
        <w:rPr>
          <w:sz w:val="16"/>
          <w:szCs w:val="16"/>
        </w:rPr>
        <w:t xml:space="preserve"> </w:t>
      </w:r>
      <w:r w:rsidRPr="00FB59A1">
        <w:rPr>
          <w:sz w:val="16"/>
          <w:szCs w:val="16"/>
          <w:lang w:val="en-US"/>
        </w:rPr>
        <w:t>Integrity</w:t>
      </w:r>
      <w:r w:rsidRPr="00FB59A1">
        <w:rPr>
          <w:sz w:val="16"/>
          <w:szCs w:val="16"/>
        </w:rPr>
        <w:t xml:space="preserve">, </w:t>
      </w:r>
      <w:r w:rsidRPr="00FB59A1">
        <w:rPr>
          <w:sz w:val="16"/>
          <w:szCs w:val="16"/>
          <w:lang w:val="en-US"/>
        </w:rPr>
        <w:t>and</w:t>
      </w:r>
      <w:r w:rsidRPr="00FB59A1">
        <w:rPr>
          <w:sz w:val="16"/>
          <w:szCs w:val="16"/>
        </w:rPr>
        <w:t xml:space="preserve"> </w:t>
      </w:r>
      <w:r w:rsidRPr="00FB59A1">
        <w:rPr>
          <w:sz w:val="16"/>
          <w:szCs w:val="16"/>
          <w:lang w:val="en-US"/>
        </w:rPr>
        <w:t>Facilitates</w:t>
      </w:r>
      <w:r w:rsidRPr="00FB59A1">
        <w:rPr>
          <w:sz w:val="16"/>
          <w:szCs w:val="16"/>
        </w:rPr>
        <w:t xml:space="preserve"> </w:t>
      </w:r>
      <w:r w:rsidRPr="00FB59A1">
        <w:rPr>
          <w:sz w:val="16"/>
          <w:szCs w:val="16"/>
          <w:lang w:val="en-US"/>
        </w:rPr>
        <w:t>Capital</w:t>
      </w:r>
      <w:r w:rsidRPr="00FB59A1">
        <w:rPr>
          <w:sz w:val="16"/>
          <w:szCs w:val="16"/>
        </w:rPr>
        <w:t xml:space="preserve"> </w:t>
      </w:r>
      <w:r w:rsidRPr="00FB59A1">
        <w:rPr>
          <w:sz w:val="16"/>
          <w:szCs w:val="16"/>
          <w:lang w:val="en-US"/>
        </w:rPr>
        <w:t>Formation</w:t>
      </w:r>
      <w:r w:rsidRPr="00FB59A1">
        <w:rPr>
          <w:sz w:val="16"/>
          <w:szCs w:val="16"/>
        </w:rPr>
        <w:t xml:space="preserve">. – Режим доступа: </w:t>
      </w:r>
      <w:hyperlink r:id="rId26" w:history="1">
        <w:r w:rsidRPr="00FB59A1">
          <w:rPr>
            <w:rStyle w:val="aa"/>
            <w:sz w:val="16"/>
            <w:szCs w:val="16"/>
            <w:lang w:val="en-US"/>
          </w:rPr>
          <w:t>http</w:t>
        </w:r>
        <w:r w:rsidRPr="00FB59A1">
          <w:rPr>
            <w:rStyle w:val="aa"/>
            <w:sz w:val="16"/>
            <w:szCs w:val="16"/>
          </w:rPr>
          <w:t>://</w:t>
        </w:r>
        <w:r w:rsidRPr="00FB59A1">
          <w:rPr>
            <w:rStyle w:val="aa"/>
            <w:sz w:val="16"/>
            <w:szCs w:val="16"/>
            <w:lang w:val="en-US"/>
          </w:rPr>
          <w:t>www</w:t>
        </w:r>
        <w:r w:rsidRPr="00FB59A1">
          <w:rPr>
            <w:rStyle w:val="aa"/>
            <w:sz w:val="16"/>
            <w:szCs w:val="16"/>
          </w:rPr>
          <w:t>.</w:t>
        </w:r>
        <w:r w:rsidRPr="00FB59A1">
          <w:rPr>
            <w:rStyle w:val="aa"/>
            <w:sz w:val="16"/>
            <w:szCs w:val="16"/>
            <w:lang w:val="en-US"/>
          </w:rPr>
          <w:t>sec</w:t>
        </w:r>
        <w:r w:rsidRPr="00FB59A1">
          <w:rPr>
            <w:rStyle w:val="aa"/>
            <w:sz w:val="16"/>
            <w:szCs w:val="16"/>
          </w:rPr>
          <w:t>.</w:t>
        </w:r>
        <w:proofErr w:type="spellStart"/>
        <w:r w:rsidRPr="00FB59A1">
          <w:rPr>
            <w:rStyle w:val="aa"/>
            <w:sz w:val="16"/>
            <w:szCs w:val="16"/>
            <w:lang w:val="en-US"/>
          </w:rPr>
          <w:t>gov</w:t>
        </w:r>
        <w:proofErr w:type="spellEnd"/>
        <w:r w:rsidRPr="00FB59A1">
          <w:rPr>
            <w:rStyle w:val="aa"/>
            <w:sz w:val="16"/>
            <w:szCs w:val="16"/>
          </w:rPr>
          <w:t>/</w:t>
        </w:r>
        <w:r w:rsidRPr="00FB59A1">
          <w:rPr>
            <w:rStyle w:val="aa"/>
            <w:sz w:val="16"/>
            <w:szCs w:val="16"/>
            <w:lang w:val="en-US"/>
          </w:rPr>
          <w:t>about</w:t>
        </w:r>
        <w:r w:rsidRPr="00FB59A1">
          <w:rPr>
            <w:rStyle w:val="aa"/>
            <w:sz w:val="16"/>
            <w:szCs w:val="16"/>
          </w:rPr>
          <w:t>/</w:t>
        </w:r>
        <w:proofErr w:type="spellStart"/>
        <w:r w:rsidRPr="00FB59A1">
          <w:rPr>
            <w:rStyle w:val="aa"/>
            <w:sz w:val="16"/>
            <w:szCs w:val="16"/>
            <w:lang w:val="en-US"/>
          </w:rPr>
          <w:t>whatwedo</w:t>
        </w:r>
        <w:proofErr w:type="spellEnd"/>
        <w:r w:rsidRPr="00FB59A1">
          <w:rPr>
            <w:rStyle w:val="aa"/>
            <w:sz w:val="16"/>
            <w:szCs w:val="16"/>
          </w:rPr>
          <w:t>.</w:t>
        </w:r>
        <w:proofErr w:type="spellStart"/>
        <w:r w:rsidRPr="00FB59A1">
          <w:rPr>
            <w:rStyle w:val="aa"/>
            <w:sz w:val="16"/>
            <w:szCs w:val="16"/>
            <w:lang w:val="en-US"/>
          </w:rPr>
          <w:t>shtml</w:t>
        </w:r>
        <w:proofErr w:type="spellEnd"/>
      </w:hyperlink>
      <w:r w:rsidRPr="00FB59A1">
        <w:rPr>
          <w:sz w:val="16"/>
          <w:szCs w:val="16"/>
        </w:rPr>
        <w:t xml:space="preserve">, свободный. – </w:t>
      </w:r>
      <w:proofErr w:type="spellStart"/>
      <w:r w:rsidRPr="00FB59A1">
        <w:rPr>
          <w:sz w:val="16"/>
          <w:szCs w:val="16"/>
        </w:rPr>
        <w:t>Загл</w:t>
      </w:r>
      <w:proofErr w:type="spellEnd"/>
      <w:r w:rsidRPr="00FB59A1">
        <w:rPr>
          <w:sz w:val="16"/>
          <w:szCs w:val="16"/>
        </w:rPr>
        <w:t xml:space="preserve">. с экрана. </w:t>
      </w:r>
    </w:p>
  </w:footnote>
  <w:footnote w:id="49">
    <w:p w:rsidR="00E24259" w:rsidRPr="00FB59A1" w:rsidRDefault="00E24259" w:rsidP="002274FB">
      <w:pPr>
        <w:pStyle w:val="a7"/>
        <w:rPr>
          <w:sz w:val="16"/>
          <w:szCs w:val="16"/>
        </w:rPr>
      </w:pPr>
      <w:r w:rsidRPr="00FB59A1">
        <w:rPr>
          <w:rStyle w:val="a9"/>
          <w:sz w:val="16"/>
          <w:szCs w:val="16"/>
        </w:rPr>
        <w:footnoteRef/>
      </w:r>
      <w:r w:rsidRPr="00FB59A1">
        <w:rPr>
          <w:sz w:val="16"/>
          <w:szCs w:val="16"/>
        </w:rPr>
        <w:t xml:space="preserve"> Официальный сайт Комиссии по ценным бумагам и биржам США [Электронный ресурс]: </w:t>
      </w:r>
      <w:proofErr w:type="gramStart"/>
      <w:r w:rsidRPr="00FB59A1">
        <w:rPr>
          <w:sz w:val="16"/>
          <w:szCs w:val="16"/>
          <w:lang w:val="en-US"/>
        </w:rPr>
        <w:t>Important</w:t>
      </w:r>
      <w:r w:rsidRPr="00FB59A1">
        <w:rPr>
          <w:sz w:val="16"/>
          <w:szCs w:val="16"/>
        </w:rPr>
        <w:t xml:space="preserve"> </w:t>
      </w:r>
      <w:r w:rsidRPr="00FB59A1">
        <w:rPr>
          <w:sz w:val="16"/>
          <w:szCs w:val="16"/>
          <w:lang w:val="en-US"/>
        </w:rPr>
        <w:t>Information</w:t>
      </w:r>
      <w:r w:rsidRPr="00FB59A1">
        <w:rPr>
          <w:sz w:val="16"/>
          <w:szCs w:val="16"/>
        </w:rPr>
        <w:t xml:space="preserve"> </w:t>
      </w:r>
      <w:r w:rsidRPr="00FB59A1">
        <w:rPr>
          <w:sz w:val="16"/>
          <w:szCs w:val="16"/>
          <w:lang w:val="en-US"/>
        </w:rPr>
        <w:t>about</w:t>
      </w:r>
      <w:r w:rsidRPr="00FB59A1">
        <w:rPr>
          <w:sz w:val="16"/>
          <w:szCs w:val="16"/>
        </w:rPr>
        <w:t xml:space="preserve"> </w:t>
      </w:r>
      <w:r w:rsidRPr="00FB59A1">
        <w:rPr>
          <w:sz w:val="16"/>
          <w:szCs w:val="16"/>
          <w:lang w:val="en-US"/>
        </w:rPr>
        <w:t>EDGAR</w:t>
      </w:r>
      <w:r w:rsidRPr="00FB59A1">
        <w:rPr>
          <w:sz w:val="16"/>
          <w:szCs w:val="16"/>
        </w:rPr>
        <w:t>.</w:t>
      </w:r>
      <w:proofErr w:type="gramEnd"/>
      <w:r w:rsidRPr="00FB59A1">
        <w:rPr>
          <w:sz w:val="16"/>
          <w:szCs w:val="16"/>
        </w:rPr>
        <w:t xml:space="preserve"> – Режим доступа:  </w:t>
      </w:r>
      <w:hyperlink r:id="rId27" w:history="1">
        <w:r w:rsidRPr="00FB59A1">
          <w:rPr>
            <w:rStyle w:val="aa"/>
            <w:sz w:val="16"/>
            <w:szCs w:val="16"/>
            <w:lang w:val="en-US"/>
          </w:rPr>
          <w:t>http</w:t>
        </w:r>
        <w:r w:rsidRPr="00FB59A1">
          <w:rPr>
            <w:rStyle w:val="aa"/>
            <w:sz w:val="16"/>
            <w:szCs w:val="16"/>
          </w:rPr>
          <w:t>://</w:t>
        </w:r>
        <w:r w:rsidRPr="00FB59A1">
          <w:rPr>
            <w:rStyle w:val="aa"/>
            <w:sz w:val="16"/>
            <w:szCs w:val="16"/>
            <w:lang w:val="en-US"/>
          </w:rPr>
          <w:t>www</w:t>
        </w:r>
        <w:r w:rsidRPr="00FB59A1">
          <w:rPr>
            <w:rStyle w:val="aa"/>
            <w:sz w:val="16"/>
            <w:szCs w:val="16"/>
          </w:rPr>
          <w:t>.</w:t>
        </w:r>
        <w:r w:rsidRPr="00FB59A1">
          <w:rPr>
            <w:rStyle w:val="aa"/>
            <w:sz w:val="16"/>
            <w:szCs w:val="16"/>
            <w:lang w:val="en-US"/>
          </w:rPr>
          <w:t>sec</w:t>
        </w:r>
        <w:r w:rsidRPr="00FB59A1">
          <w:rPr>
            <w:rStyle w:val="aa"/>
            <w:sz w:val="16"/>
            <w:szCs w:val="16"/>
          </w:rPr>
          <w:t>.</w:t>
        </w:r>
        <w:proofErr w:type="spellStart"/>
        <w:r w:rsidRPr="00FB59A1">
          <w:rPr>
            <w:rStyle w:val="aa"/>
            <w:sz w:val="16"/>
            <w:szCs w:val="16"/>
            <w:lang w:val="en-US"/>
          </w:rPr>
          <w:t>gov</w:t>
        </w:r>
        <w:proofErr w:type="spellEnd"/>
        <w:r w:rsidRPr="00FB59A1">
          <w:rPr>
            <w:rStyle w:val="aa"/>
            <w:sz w:val="16"/>
            <w:szCs w:val="16"/>
          </w:rPr>
          <w:t>/</w:t>
        </w:r>
        <w:proofErr w:type="spellStart"/>
        <w:r w:rsidRPr="00FB59A1">
          <w:rPr>
            <w:rStyle w:val="aa"/>
            <w:sz w:val="16"/>
            <w:szCs w:val="16"/>
            <w:lang w:val="en-US"/>
          </w:rPr>
          <w:t>edgar</w:t>
        </w:r>
        <w:proofErr w:type="spellEnd"/>
        <w:r w:rsidRPr="00FB59A1">
          <w:rPr>
            <w:rStyle w:val="aa"/>
            <w:sz w:val="16"/>
            <w:szCs w:val="16"/>
          </w:rPr>
          <w:t>/</w:t>
        </w:r>
        <w:proofErr w:type="spellStart"/>
        <w:r w:rsidRPr="00FB59A1">
          <w:rPr>
            <w:rStyle w:val="aa"/>
            <w:sz w:val="16"/>
            <w:szCs w:val="16"/>
            <w:lang w:val="en-US"/>
          </w:rPr>
          <w:t>aboutedgar</w:t>
        </w:r>
        <w:proofErr w:type="spellEnd"/>
        <w:r w:rsidRPr="00FB59A1">
          <w:rPr>
            <w:rStyle w:val="aa"/>
            <w:sz w:val="16"/>
            <w:szCs w:val="16"/>
          </w:rPr>
          <w:t>.</w:t>
        </w:r>
        <w:proofErr w:type="spellStart"/>
        <w:r w:rsidRPr="00FB59A1">
          <w:rPr>
            <w:rStyle w:val="aa"/>
            <w:sz w:val="16"/>
            <w:szCs w:val="16"/>
            <w:lang w:val="en-US"/>
          </w:rPr>
          <w:t>htm</w:t>
        </w:r>
        <w:proofErr w:type="spellEnd"/>
      </w:hyperlink>
      <w:r w:rsidRPr="00FB59A1">
        <w:rPr>
          <w:rStyle w:val="aa"/>
          <w:sz w:val="16"/>
          <w:szCs w:val="16"/>
        </w:rPr>
        <w:t>,</w:t>
      </w:r>
      <w:r w:rsidRPr="00FB59A1">
        <w:rPr>
          <w:sz w:val="16"/>
          <w:szCs w:val="16"/>
        </w:rPr>
        <w:t xml:space="preserve"> свободный. – </w:t>
      </w:r>
      <w:proofErr w:type="spellStart"/>
      <w:r w:rsidRPr="00FB59A1">
        <w:rPr>
          <w:sz w:val="16"/>
          <w:szCs w:val="16"/>
        </w:rPr>
        <w:t>Загл</w:t>
      </w:r>
      <w:proofErr w:type="spellEnd"/>
      <w:r w:rsidRPr="00FB59A1">
        <w:rPr>
          <w:sz w:val="16"/>
          <w:szCs w:val="16"/>
        </w:rPr>
        <w:t xml:space="preserve">. с экрана. </w:t>
      </w:r>
    </w:p>
  </w:footnote>
  <w:footnote w:id="50">
    <w:p w:rsidR="00E24259" w:rsidRPr="002838F4" w:rsidRDefault="00E24259" w:rsidP="005551B1">
      <w:pPr>
        <w:pStyle w:val="a7"/>
        <w:jc w:val="both"/>
        <w:rPr>
          <w:sz w:val="16"/>
          <w:szCs w:val="16"/>
        </w:rPr>
      </w:pPr>
      <w:r w:rsidRPr="002838F4">
        <w:rPr>
          <w:rStyle w:val="a9"/>
          <w:sz w:val="16"/>
          <w:szCs w:val="16"/>
        </w:rPr>
        <w:footnoteRef/>
      </w:r>
      <w:r w:rsidRPr="002838F4">
        <w:rPr>
          <w:sz w:val="16"/>
          <w:szCs w:val="16"/>
        </w:rPr>
        <w:t xml:space="preserve"> </w:t>
      </w:r>
      <w:proofErr w:type="gramStart"/>
      <w:r w:rsidRPr="002838F4">
        <w:rPr>
          <w:sz w:val="16"/>
          <w:szCs w:val="16"/>
        </w:rPr>
        <w:t xml:space="preserve">Например, ФАС Уральского  округа отметил, что нарушения установленных сроков представления эмитентом сообщения о существенном факте в регистрирующий орган и раскрытии сообщения об утверждении решения о выпуске ценных бумаг в силу положений ст. 21 Закона о рынке ценных бумаг не могут являться основанием для отказа в государственной регистрации выпуска ценных бумаг, поскольку имеют устранимый характер (Постановление </w:t>
      </w:r>
      <w:r>
        <w:rPr>
          <w:sz w:val="16"/>
          <w:szCs w:val="16"/>
        </w:rPr>
        <w:t xml:space="preserve">ФАС Уральского округа </w:t>
      </w:r>
      <w:r w:rsidRPr="002838F4">
        <w:rPr>
          <w:sz w:val="16"/>
          <w:szCs w:val="16"/>
        </w:rPr>
        <w:t>№ Ф09-3601/09-С1</w:t>
      </w:r>
      <w:proofErr w:type="gramEnd"/>
      <w:r w:rsidRPr="002838F4">
        <w:rPr>
          <w:sz w:val="16"/>
          <w:szCs w:val="16"/>
        </w:rPr>
        <w:t xml:space="preserve"> от 01.06.2009 по делу № А60-40183/2008-С9</w:t>
      </w:r>
      <w:r>
        <w:rPr>
          <w:sz w:val="16"/>
          <w:szCs w:val="16"/>
        </w:rPr>
        <w:t xml:space="preserve"> // СПС «Консультант Плюс»</w:t>
      </w:r>
      <w:r w:rsidRPr="002838F4">
        <w:rPr>
          <w:sz w:val="16"/>
          <w:szCs w:val="16"/>
        </w:rPr>
        <w:t>).</w:t>
      </w:r>
    </w:p>
  </w:footnote>
  <w:footnote w:id="51">
    <w:p w:rsidR="00E24259" w:rsidRPr="003D694B" w:rsidRDefault="00E24259" w:rsidP="00D81D06">
      <w:pPr>
        <w:pStyle w:val="a7"/>
        <w:jc w:val="both"/>
        <w:rPr>
          <w:sz w:val="16"/>
          <w:szCs w:val="16"/>
        </w:rPr>
      </w:pPr>
      <w:r w:rsidRPr="003D694B">
        <w:rPr>
          <w:rStyle w:val="a9"/>
          <w:sz w:val="16"/>
          <w:szCs w:val="16"/>
        </w:rPr>
        <w:footnoteRef/>
      </w:r>
      <w:r w:rsidRPr="003D694B">
        <w:rPr>
          <w:sz w:val="16"/>
          <w:szCs w:val="16"/>
        </w:rPr>
        <w:t xml:space="preserve"> </w:t>
      </w:r>
      <w:proofErr w:type="spellStart"/>
      <w:r w:rsidRPr="003D694B">
        <w:rPr>
          <w:sz w:val="16"/>
          <w:szCs w:val="16"/>
        </w:rPr>
        <w:t>Бахрах</w:t>
      </w:r>
      <w:proofErr w:type="spellEnd"/>
      <w:r w:rsidRPr="003D694B">
        <w:rPr>
          <w:sz w:val="16"/>
          <w:szCs w:val="16"/>
        </w:rPr>
        <w:t xml:space="preserve"> Д. Н., </w:t>
      </w:r>
      <w:proofErr w:type="spellStart"/>
      <w:r w:rsidRPr="003D694B">
        <w:rPr>
          <w:sz w:val="16"/>
          <w:szCs w:val="16"/>
        </w:rPr>
        <w:t>Россинский</w:t>
      </w:r>
      <w:proofErr w:type="spellEnd"/>
      <w:r w:rsidRPr="003D694B">
        <w:rPr>
          <w:sz w:val="16"/>
          <w:szCs w:val="16"/>
        </w:rPr>
        <w:t xml:space="preserve"> Б. В., </w:t>
      </w:r>
      <w:proofErr w:type="spellStart"/>
      <w:r w:rsidRPr="003D694B">
        <w:rPr>
          <w:sz w:val="16"/>
          <w:szCs w:val="16"/>
        </w:rPr>
        <w:t>Старилов</w:t>
      </w:r>
      <w:proofErr w:type="spellEnd"/>
      <w:r w:rsidRPr="003D694B">
        <w:rPr>
          <w:sz w:val="16"/>
          <w:szCs w:val="16"/>
        </w:rPr>
        <w:t xml:space="preserve"> Ю. Н. Административное право: Учебник для вузов. — 3-е изд., пересмотр, и доп. — М.: Норма, 2007. —с</w:t>
      </w:r>
      <w:r>
        <w:rPr>
          <w:sz w:val="16"/>
          <w:szCs w:val="16"/>
        </w:rPr>
        <w:t>.</w:t>
      </w:r>
      <w:r w:rsidRPr="003D694B">
        <w:rPr>
          <w:sz w:val="16"/>
          <w:szCs w:val="16"/>
        </w:rPr>
        <w:t xml:space="preserve"> 549.</w:t>
      </w:r>
    </w:p>
  </w:footnote>
  <w:footnote w:id="52">
    <w:p w:rsidR="00E24259" w:rsidRPr="00C3339E" w:rsidRDefault="00E24259" w:rsidP="00D81D06">
      <w:pPr>
        <w:pStyle w:val="a7"/>
        <w:jc w:val="both"/>
        <w:rPr>
          <w:sz w:val="16"/>
          <w:szCs w:val="16"/>
        </w:rPr>
      </w:pPr>
      <w:r w:rsidRPr="00C3339E">
        <w:rPr>
          <w:rStyle w:val="a9"/>
          <w:sz w:val="16"/>
          <w:szCs w:val="16"/>
        </w:rPr>
        <w:footnoteRef/>
      </w:r>
      <w:r w:rsidRPr="00C3339E">
        <w:rPr>
          <w:sz w:val="16"/>
          <w:szCs w:val="16"/>
        </w:rPr>
        <w:t xml:space="preserve"> Постановление Семнадцатого арбитражного апелляционного суда № 17АП-2123/2012-АК от 05.04.2012 по делу № А60-57658/2011. // СПС «Консультант Плюс».</w:t>
      </w:r>
    </w:p>
  </w:footnote>
  <w:footnote w:id="53">
    <w:p w:rsidR="00E24259" w:rsidRPr="00C3339E" w:rsidRDefault="00E24259" w:rsidP="00D81D06">
      <w:pPr>
        <w:pStyle w:val="a7"/>
        <w:jc w:val="both"/>
        <w:rPr>
          <w:sz w:val="16"/>
          <w:szCs w:val="16"/>
        </w:rPr>
      </w:pPr>
      <w:r w:rsidRPr="00C3339E">
        <w:rPr>
          <w:rStyle w:val="a9"/>
          <w:sz w:val="16"/>
          <w:szCs w:val="16"/>
        </w:rPr>
        <w:footnoteRef/>
      </w:r>
      <w:r w:rsidRPr="00C3339E">
        <w:rPr>
          <w:sz w:val="16"/>
          <w:szCs w:val="16"/>
        </w:rPr>
        <w:t xml:space="preserve"> Постановление Девятого арбитражного апелляционного суда № 09АП-2095/2013 от 26.02.2013 по делу № А40-128686/12-33-187. // </w:t>
      </w:r>
      <w:hyperlink r:id="rId28" w:history="1">
        <w:r w:rsidRPr="00C3339E">
          <w:rPr>
            <w:rStyle w:val="aa"/>
            <w:sz w:val="16"/>
            <w:szCs w:val="16"/>
          </w:rPr>
          <w:t>СПС</w:t>
        </w:r>
      </w:hyperlink>
      <w:r w:rsidRPr="00C3339E">
        <w:rPr>
          <w:sz w:val="16"/>
          <w:szCs w:val="16"/>
        </w:rPr>
        <w:t xml:space="preserve"> «Консультант Плюс». </w:t>
      </w:r>
    </w:p>
  </w:footnote>
  <w:footnote w:id="54">
    <w:p w:rsidR="00E24259" w:rsidRPr="00C3339E" w:rsidRDefault="00E24259" w:rsidP="00D81D06">
      <w:pPr>
        <w:pStyle w:val="a7"/>
        <w:jc w:val="both"/>
        <w:rPr>
          <w:sz w:val="16"/>
          <w:szCs w:val="16"/>
        </w:rPr>
      </w:pPr>
      <w:r w:rsidRPr="00C3339E">
        <w:rPr>
          <w:rStyle w:val="a9"/>
          <w:sz w:val="16"/>
          <w:szCs w:val="16"/>
        </w:rPr>
        <w:footnoteRef/>
      </w:r>
      <w:r w:rsidRPr="00C3339E">
        <w:rPr>
          <w:sz w:val="16"/>
          <w:szCs w:val="16"/>
        </w:rPr>
        <w:t xml:space="preserve"> </w:t>
      </w:r>
      <w:proofErr w:type="spellStart"/>
      <w:r w:rsidRPr="00C3339E">
        <w:rPr>
          <w:sz w:val="16"/>
          <w:szCs w:val="16"/>
        </w:rPr>
        <w:t>Вавулин</w:t>
      </w:r>
      <w:proofErr w:type="spellEnd"/>
      <w:r w:rsidRPr="00C3339E">
        <w:rPr>
          <w:sz w:val="16"/>
          <w:szCs w:val="16"/>
        </w:rPr>
        <w:t xml:space="preserve"> Д.А., Федотов В.Н. Нарушение порядка раскрытия информации акционерными обществами. // СПС «Консультант Плюс». </w:t>
      </w:r>
    </w:p>
  </w:footnote>
  <w:footnote w:id="55">
    <w:p w:rsidR="00E24259" w:rsidRPr="00C3339E" w:rsidRDefault="00E24259" w:rsidP="00D81D06">
      <w:pPr>
        <w:pStyle w:val="a7"/>
        <w:jc w:val="both"/>
        <w:rPr>
          <w:sz w:val="16"/>
          <w:szCs w:val="16"/>
        </w:rPr>
      </w:pPr>
      <w:r w:rsidRPr="00C3339E">
        <w:rPr>
          <w:rStyle w:val="a9"/>
          <w:sz w:val="16"/>
          <w:szCs w:val="16"/>
        </w:rPr>
        <w:footnoteRef/>
      </w:r>
      <w:r w:rsidRPr="00C3339E">
        <w:rPr>
          <w:sz w:val="16"/>
          <w:szCs w:val="16"/>
        </w:rPr>
        <w:t xml:space="preserve"> Официальный сайт Национального архива США [Электронный ресурс]: </w:t>
      </w:r>
      <w:proofErr w:type="gramStart"/>
      <w:r w:rsidRPr="00C3339E">
        <w:rPr>
          <w:sz w:val="16"/>
          <w:szCs w:val="16"/>
          <w:lang w:val="en-US"/>
        </w:rPr>
        <w:t>Administrative</w:t>
      </w:r>
      <w:r w:rsidRPr="00C3339E">
        <w:rPr>
          <w:sz w:val="16"/>
          <w:szCs w:val="16"/>
        </w:rPr>
        <w:t xml:space="preserve"> </w:t>
      </w:r>
      <w:r w:rsidRPr="00C3339E">
        <w:rPr>
          <w:sz w:val="16"/>
          <w:szCs w:val="16"/>
          <w:lang w:val="en-US"/>
        </w:rPr>
        <w:t>Procedure</w:t>
      </w:r>
      <w:r w:rsidRPr="00C3339E">
        <w:rPr>
          <w:sz w:val="16"/>
          <w:szCs w:val="16"/>
        </w:rPr>
        <w:t xml:space="preserve"> </w:t>
      </w:r>
      <w:r w:rsidRPr="00C3339E">
        <w:rPr>
          <w:sz w:val="16"/>
          <w:szCs w:val="16"/>
          <w:lang w:val="en-US"/>
        </w:rPr>
        <w:t>Act</w:t>
      </w:r>
      <w:r w:rsidRPr="00C3339E">
        <w:rPr>
          <w:sz w:val="16"/>
          <w:szCs w:val="16"/>
        </w:rPr>
        <w:t>.</w:t>
      </w:r>
      <w:proofErr w:type="gramEnd"/>
      <w:r w:rsidRPr="00C3339E">
        <w:rPr>
          <w:sz w:val="16"/>
          <w:szCs w:val="16"/>
        </w:rPr>
        <w:t xml:space="preserve"> – Режим доступа: </w:t>
      </w:r>
      <w:hyperlink r:id="rId29" w:history="1">
        <w:r w:rsidRPr="00C3339E">
          <w:rPr>
            <w:rStyle w:val="aa"/>
            <w:sz w:val="16"/>
            <w:szCs w:val="16"/>
          </w:rPr>
          <w:t>http://www.archives.gov/federal-register/laws/administrative-procedure/</w:t>
        </w:r>
      </w:hyperlink>
      <w:r w:rsidRPr="00C3339E">
        <w:rPr>
          <w:sz w:val="16"/>
          <w:szCs w:val="16"/>
        </w:rPr>
        <w:t xml:space="preserve">, свободный. – </w:t>
      </w:r>
      <w:proofErr w:type="spellStart"/>
      <w:r w:rsidRPr="00C3339E">
        <w:rPr>
          <w:sz w:val="16"/>
          <w:szCs w:val="16"/>
        </w:rPr>
        <w:t>Загл</w:t>
      </w:r>
      <w:proofErr w:type="spellEnd"/>
      <w:r w:rsidRPr="00C3339E">
        <w:rPr>
          <w:sz w:val="16"/>
          <w:szCs w:val="16"/>
        </w:rPr>
        <w:t>. с экрана.</w:t>
      </w:r>
    </w:p>
  </w:footnote>
  <w:footnote w:id="56">
    <w:p w:rsidR="00E24259" w:rsidRPr="00A953B9" w:rsidRDefault="00E24259" w:rsidP="00D81D06">
      <w:pPr>
        <w:pStyle w:val="a7"/>
        <w:jc w:val="both"/>
      </w:pPr>
      <w:r w:rsidRPr="00C3339E">
        <w:rPr>
          <w:rStyle w:val="a9"/>
          <w:sz w:val="16"/>
          <w:szCs w:val="16"/>
        </w:rPr>
        <w:footnoteRef/>
      </w:r>
      <w:r w:rsidRPr="00C3339E">
        <w:rPr>
          <w:sz w:val="16"/>
          <w:szCs w:val="16"/>
        </w:rPr>
        <w:t xml:space="preserve"> Сайт Правовой информации [Электронный ресурс]: </w:t>
      </w:r>
      <w:r w:rsidRPr="00C3339E">
        <w:rPr>
          <w:sz w:val="16"/>
          <w:szCs w:val="16"/>
          <w:lang w:val="en-US"/>
        </w:rPr>
        <w:t>Infraction</w:t>
      </w:r>
      <w:r w:rsidRPr="00C3339E">
        <w:rPr>
          <w:sz w:val="16"/>
          <w:szCs w:val="16"/>
        </w:rPr>
        <w:t xml:space="preserve">, </w:t>
      </w:r>
      <w:r w:rsidRPr="00C3339E">
        <w:rPr>
          <w:sz w:val="16"/>
          <w:szCs w:val="16"/>
          <w:lang w:val="en-US"/>
        </w:rPr>
        <w:t>Misdemeanor</w:t>
      </w:r>
      <w:r w:rsidRPr="00C3339E">
        <w:rPr>
          <w:sz w:val="16"/>
          <w:szCs w:val="16"/>
        </w:rPr>
        <w:t xml:space="preserve"> </w:t>
      </w:r>
      <w:r w:rsidRPr="00C3339E">
        <w:rPr>
          <w:sz w:val="16"/>
          <w:szCs w:val="16"/>
          <w:lang w:val="en-US"/>
        </w:rPr>
        <w:t>or</w:t>
      </w:r>
      <w:r w:rsidRPr="00C3339E">
        <w:rPr>
          <w:sz w:val="16"/>
          <w:szCs w:val="16"/>
        </w:rPr>
        <w:t xml:space="preserve"> </w:t>
      </w:r>
      <w:r w:rsidRPr="00C3339E">
        <w:rPr>
          <w:sz w:val="16"/>
          <w:szCs w:val="16"/>
          <w:lang w:val="en-US"/>
        </w:rPr>
        <w:t>Felony</w:t>
      </w:r>
      <w:r w:rsidRPr="00C3339E">
        <w:rPr>
          <w:sz w:val="16"/>
          <w:szCs w:val="16"/>
        </w:rPr>
        <w:t xml:space="preserve">: </w:t>
      </w:r>
      <w:r w:rsidRPr="00C3339E">
        <w:rPr>
          <w:sz w:val="16"/>
          <w:szCs w:val="16"/>
          <w:lang w:val="en-US"/>
        </w:rPr>
        <w:t>What</w:t>
      </w:r>
      <w:r w:rsidRPr="00C3339E">
        <w:rPr>
          <w:sz w:val="16"/>
          <w:szCs w:val="16"/>
        </w:rPr>
        <w:t xml:space="preserve"> </w:t>
      </w:r>
      <w:r w:rsidRPr="00C3339E">
        <w:rPr>
          <w:sz w:val="16"/>
          <w:szCs w:val="16"/>
          <w:lang w:val="en-US"/>
        </w:rPr>
        <w:t>is</w:t>
      </w:r>
      <w:r w:rsidRPr="00C3339E">
        <w:rPr>
          <w:sz w:val="16"/>
          <w:szCs w:val="16"/>
        </w:rPr>
        <w:t xml:space="preserve"> </w:t>
      </w:r>
      <w:r w:rsidRPr="00C3339E">
        <w:rPr>
          <w:sz w:val="16"/>
          <w:szCs w:val="16"/>
          <w:lang w:val="en-US"/>
        </w:rPr>
        <w:t>the</w:t>
      </w:r>
      <w:r w:rsidRPr="00C3339E">
        <w:rPr>
          <w:sz w:val="16"/>
          <w:szCs w:val="16"/>
        </w:rPr>
        <w:t xml:space="preserve"> </w:t>
      </w:r>
      <w:r w:rsidRPr="00C3339E">
        <w:rPr>
          <w:sz w:val="16"/>
          <w:szCs w:val="16"/>
          <w:lang w:val="en-US"/>
        </w:rPr>
        <w:t>Difference</w:t>
      </w:r>
      <w:r w:rsidRPr="00C3339E">
        <w:rPr>
          <w:sz w:val="16"/>
          <w:szCs w:val="16"/>
        </w:rPr>
        <w:t xml:space="preserve">? – Режим доступа: </w:t>
      </w:r>
      <w:hyperlink r:id="rId30" w:history="1">
        <w:r w:rsidRPr="00C3339E">
          <w:rPr>
            <w:rStyle w:val="aa"/>
            <w:sz w:val="16"/>
            <w:szCs w:val="16"/>
            <w:lang w:val="en-US"/>
          </w:rPr>
          <w:t>http</w:t>
        </w:r>
        <w:r w:rsidRPr="00C3339E">
          <w:rPr>
            <w:rStyle w:val="aa"/>
            <w:sz w:val="16"/>
            <w:szCs w:val="16"/>
          </w:rPr>
          <w:t>://</w:t>
        </w:r>
        <w:r w:rsidRPr="00C3339E">
          <w:rPr>
            <w:rStyle w:val="aa"/>
            <w:sz w:val="16"/>
            <w:szCs w:val="16"/>
            <w:lang w:val="en-US"/>
          </w:rPr>
          <w:t>resources</w:t>
        </w:r>
        <w:r w:rsidRPr="00C3339E">
          <w:rPr>
            <w:rStyle w:val="aa"/>
            <w:sz w:val="16"/>
            <w:szCs w:val="16"/>
          </w:rPr>
          <w:t>.</w:t>
        </w:r>
        <w:proofErr w:type="spellStart"/>
        <w:r w:rsidRPr="00C3339E">
          <w:rPr>
            <w:rStyle w:val="aa"/>
            <w:sz w:val="16"/>
            <w:szCs w:val="16"/>
            <w:lang w:val="en-US"/>
          </w:rPr>
          <w:t>lawinfo</w:t>
        </w:r>
        <w:proofErr w:type="spellEnd"/>
        <w:r w:rsidRPr="00C3339E">
          <w:rPr>
            <w:rStyle w:val="aa"/>
            <w:sz w:val="16"/>
            <w:szCs w:val="16"/>
          </w:rPr>
          <w:t>.</w:t>
        </w:r>
        <w:r w:rsidRPr="00C3339E">
          <w:rPr>
            <w:rStyle w:val="aa"/>
            <w:sz w:val="16"/>
            <w:szCs w:val="16"/>
            <w:lang w:val="en-US"/>
          </w:rPr>
          <w:t>com</w:t>
        </w:r>
        <w:r w:rsidRPr="00C3339E">
          <w:rPr>
            <w:rStyle w:val="aa"/>
            <w:sz w:val="16"/>
            <w:szCs w:val="16"/>
          </w:rPr>
          <w:t>/</w:t>
        </w:r>
        <w:r w:rsidRPr="00C3339E">
          <w:rPr>
            <w:rStyle w:val="aa"/>
            <w:sz w:val="16"/>
            <w:szCs w:val="16"/>
            <w:lang w:val="en-US"/>
          </w:rPr>
          <w:t>en</w:t>
        </w:r>
        <w:r w:rsidRPr="00C3339E">
          <w:rPr>
            <w:rStyle w:val="aa"/>
            <w:sz w:val="16"/>
            <w:szCs w:val="16"/>
          </w:rPr>
          <w:t>/</w:t>
        </w:r>
        <w:r w:rsidRPr="00C3339E">
          <w:rPr>
            <w:rStyle w:val="aa"/>
            <w:sz w:val="16"/>
            <w:szCs w:val="16"/>
            <w:lang w:val="en-US"/>
          </w:rPr>
          <w:t>articles</w:t>
        </w:r>
        <w:r w:rsidRPr="00C3339E">
          <w:rPr>
            <w:rStyle w:val="aa"/>
            <w:sz w:val="16"/>
            <w:szCs w:val="16"/>
          </w:rPr>
          <w:t>/</w:t>
        </w:r>
        <w:r w:rsidRPr="00C3339E">
          <w:rPr>
            <w:rStyle w:val="aa"/>
            <w:sz w:val="16"/>
            <w:szCs w:val="16"/>
            <w:lang w:val="en-US"/>
          </w:rPr>
          <w:t>criminal</w:t>
        </w:r>
        <w:r w:rsidRPr="00C3339E">
          <w:rPr>
            <w:rStyle w:val="aa"/>
            <w:sz w:val="16"/>
            <w:szCs w:val="16"/>
          </w:rPr>
          <w:t>-</w:t>
        </w:r>
        <w:r w:rsidRPr="00C3339E">
          <w:rPr>
            <w:rStyle w:val="aa"/>
            <w:sz w:val="16"/>
            <w:szCs w:val="16"/>
            <w:lang w:val="en-US"/>
          </w:rPr>
          <w:t>law</w:t>
        </w:r>
        <w:r w:rsidRPr="00C3339E">
          <w:rPr>
            <w:rStyle w:val="aa"/>
            <w:sz w:val="16"/>
            <w:szCs w:val="16"/>
          </w:rPr>
          <w:t>/</w:t>
        </w:r>
        <w:r w:rsidRPr="00C3339E">
          <w:rPr>
            <w:rStyle w:val="aa"/>
            <w:sz w:val="16"/>
            <w:szCs w:val="16"/>
            <w:lang w:val="en-US"/>
          </w:rPr>
          <w:t>federal</w:t>
        </w:r>
        <w:r w:rsidRPr="00C3339E">
          <w:rPr>
            <w:rStyle w:val="aa"/>
            <w:sz w:val="16"/>
            <w:szCs w:val="16"/>
          </w:rPr>
          <w:t>/</w:t>
        </w:r>
        <w:r w:rsidRPr="00C3339E">
          <w:rPr>
            <w:rStyle w:val="aa"/>
            <w:sz w:val="16"/>
            <w:szCs w:val="16"/>
            <w:lang w:val="en-US"/>
          </w:rPr>
          <w:t>infraction</w:t>
        </w:r>
        <w:r w:rsidRPr="00C3339E">
          <w:rPr>
            <w:rStyle w:val="aa"/>
            <w:sz w:val="16"/>
            <w:szCs w:val="16"/>
          </w:rPr>
          <w:t>-</w:t>
        </w:r>
        <w:r w:rsidRPr="00C3339E">
          <w:rPr>
            <w:rStyle w:val="aa"/>
            <w:sz w:val="16"/>
            <w:szCs w:val="16"/>
            <w:lang w:val="en-US"/>
          </w:rPr>
          <w:t>misdemeanor</w:t>
        </w:r>
        <w:r w:rsidRPr="00C3339E">
          <w:rPr>
            <w:rStyle w:val="aa"/>
            <w:sz w:val="16"/>
            <w:szCs w:val="16"/>
          </w:rPr>
          <w:t>-</w:t>
        </w:r>
        <w:r w:rsidRPr="00C3339E">
          <w:rPr>
            <w:rStyle w:val="aa"/>
            <w:sz w:val="16"/>
            <w:szCs w:val="16"/>
            <w:lang w:val="en-US"/>
          </w:rPr>
          <w:t>or</w:t>
        </w:r>
        <w:r w:rsidRPr="00C3339E">
          <w:rPr>
            <w:rStyle w:val="aa"/>
            <w:sz w:val="16"/>
            <w:szCs w:val="16"/>
          </w:rPr>
          <w:t>-</w:t>
        </w:r>
        <w:r w:rsidRPr="00C3339E">
          <w:rPr>
            <w:rStyle w:val="aa"/>
            <w:sz w:val="16"/>
            <w:szCs w:val="16"/>
            <w:lang w:val="en-US"/>
          </w:rPr>
          <w:t>felony</w:t>
        </w:r>
        <w:r w:rsidRPr="00C3339E">
          <w:rPr>
            <w:rStyle w:val="aa"/>
            <w:sz w:val="16"/>
            <w:szCs w:val="16"/>
          </w:rPr>
          <w:t>-</w:t>
        </w:r>
        <w:r w:rsidRPr="00C3339E">
          <w:rPr>
            <w:rStyle w:val="aa"/>
            <w:sz w:val="16"/>
            <w:szCs w:val="16"/>
            <w:lang w:val="en-US"/>
          </w:rPr>
          <w:t>what</w:t>
        </w:r>
        <w:r w:rsidRPr="00C3339E">
          <w:rPr>
            <w:rStyle w:val="aa"/>
            <w:sz w:val="16"/>
            <w:szCs w:val="16"/>
          </w:rPr>
          <w:t>-</w:t>
        </w:r>
        <w:r w:rsidRPr="00C3339E">
          <w:rPr>
            <w:rStyle w:val="aa"/>
            <w:sz w:val="16"/>
            <w:szCs w:val="16"/>
            <w:lang w:val="en-US"/>
          </w:rPr>
          <w:t>is</w:t>
        </w:r>
        <w:r w:rsidRPr="00C3339E">
          <w:rPr>
            <w:rStyle w:val="aa"/>
            <w:sz w:val="16"/>
            <w:szCs w:val="16"/>
          </w:rPr>
          <w:t>-</w:t>
        </w:r>
        <w:r w:rsidRPr="00C3339E">
          <w:rPr>
            <w:rStyle w:val="aa"/>
            <w:sz w:val="16"/>
            <w:szCs w:val="16"/>
            <w:lang w:val="en-US"/>
          </w:rPr>
          <w:t>the</w:t>
        </w:r>
        <w:r w:rsidRPr="00C3339E">
          <w:rPr>
            <w:rStyle w:val="aa"/>
            <w:sz w:val="16"/>
            <w:szCs w:val="16"/>
          </w:rPr>
          <w:t>-.</w:t>
        </w:r>
        <w:r w:rsidRPr="00C3339E">
          <w:rPr>
            <w:rStyle w:val="aa"/>
            <w:sz w:val="16"/>
            <w:szCs w:val="16"/>
            <w:lang w:val="en-US"/>
          </w:rPr>
          <w:t>html</w:t>
        </w:r>
      </w:hyperlink>
      <w:r w:rsidRPr="00C3339E">
        <w:rPr>
          <w:rStyle w:val="aa"/>
          <w:sz w:val="16"/>
          <w:szCs w:val="16"/>
        </w:rPr>
        <w:t>,</w:t>
      </w:r>
      <w:r w:rsidRPr="00C3339E">
        <w:rPr>
          <w:sz w:val="16"/>
          <w:szCs w:val="16"/>
        </w:rPr>
        <w:t xml:space="preserve"> свободный. – </w:t>
      </w:r>
      <w:proofErr w:type="spellStart"/>
      <w:r w:rsidRPr="00C3339E">
        <w:rPr>
          <w:sz w:val="16"/>
          <w:szCs w:val="16"/>
        </w:rPr>
        <w:t>Загл</w:t>
      </w:r>
      <w:proofErr w:type="spellEnd"/>
      <w:r w:rsidRPr="00C3339E">
        <w:rPr>
          <w:sz w:val="16"/>
          <w:szCs w:val="16"/>
        </w:rPr>
        <w:t>. с экрана.</w:t>
      </w:r>
    </w:p>
  </w:footnote>
  <w:footnote w:id="57">
    <w:p w:rsidR="00E24259" w:rsidRPr="00C3339E" w:rsidRDefault="00E24259" w:rsidP="00A953B9">
      <w:pPr>
        <w:pStyle w:val="a7"/>
        <w:jc w:val="both"/>
        <w:rPr>
          <w:sz w:val="16"/>
          <w:szCs w:val="16"/>
        </w:rPr>
      </w:pPr>
      <w:r w:rsidRPr="00C3339E">
        <w:rPr>
          <w:rStyle w:val="a9"/>
          <w:sz w:val="16"/>
          <w:szCs w:val="16"/>
        </w:rPr>
        <w:footnoteRef/>
      </w:r>
      <w:r w:rsidRPr="00C3339E">
        <w:rPr>
          <w:sz w:val="16"/>
          <w:szCs w:val="16"/>
        </w:rPr>
        <w:t xml:space="preserve"> Понятие «лица» дается в Законе о ценных бумагах 1933 года и включает в себя широкий перечень субъектов: от физического лица и корпорации до структурных единиц организации без образования юридического лица, однако для целей настоящего исследования под «любым лицом» следует понимать непосредственно эмитента и его должностных лиц (Прим. автора).</w:t>
      </w:r>
    </w:p>
  </w:footnote>
  <w:footnote w:id="58">
    <w:p w:rsidR="00E24259" w:rsidRPr="00C3339E" w:rsidRDefault="00E24259" w:rsidP="00A953B9">
      <w:pPr>
        <w:pStyle w:val="a7"/>
        <w:jc w:val="both"/>
        <w:rPr>
          <w:sz w:val="16"/>
          <w:szCs w:val="16"/>
        </w:rPr>
      </w:pPr>
      <w:r w:rsidRPr="00C3339E">
        <w:rPr>
          <w:rStyle w:val="a9"/>
          <w:sz w:val="16"/>
          <w:szCs w:val="16"/>
        </w:rPr>
        <w:footnoteRef/>
      </w:r>
      <w:r w:rsidRPr="00C3339E">
        <w:rPr>
          <w:sz w:val="16"/>
          <w:szCs w:val="16"/>
        </w:rPr>
        <w:t xml:space="preserve"> Сайт </w:t>
      </w:r>
      <w:proofErr w:type="spellStart"/>
      <w:r w:rsidRPr="00C3339E">
        <w:rPr>
          <w:sz w:val="16"/>
          <w:szCs w:val="16"/>
        </w:rPr>
        <w:t>Cornell</w:t>
      </w:r>
      <w:proofErr w:type="spellEnd"/>
      <w:r w:rsidRPr="00C3339E">
        <w:rPr>
          <w:sz w:val="16"/>
          <w:szCs w:val="16"/>
        </w:rPr>
        <w:t xml:space="preserve"> </w:t>
      </w:r>
      <w:proofErr w:type="spellStart"/>
      <w:r w:rsidRPr="00C3339E">
        <w:rPr>
          <w:sz w:val="16"/>
          <w:szCs w:val="16"/>
        </w:rPr>
        <w:t>University</w:t>
      </w:r>
      <w:proofErr w:type="spellEnd"/>
      <w:r w:rsidRPr="00C3339E">
        <w:rPr>
          <w:sz w:val="16"/>
          <w:szCs w:val="16"/>
        </w:rPr>
        <w:t xml:space="preserve"> </w:t>
      </w:r>
      <w:proofErr w:type="spellStart"/>
      <w:r w:rsidRPr="00C3339E">
        <w:rPr>
          <w:sz w:val="16"/>
          <w:szCs w:val="16"/>
        </w:rPr>
        <w:t>Law</w:t>
      </w:r>
      <w:proofErr w:type="spellEnd"/>
      <w:r w:rsidRPr="00C3339E">
        <w:rPr>
          <w:sz w:val="16"/>
          <w:szCs w:val="16"/>
        </w:rPr>
        <w:t xml:space="preserve"> </w:t>
      </w:r>
      <w:proofErr w:type="spellStart"/>
      <w:r w:rsidRPr="00C3339E">
        <w:rPr>
          <w:sz w:val="16"/>
          <w:szCs w:val="16"/>
        </w:rPr>
        <w:t>School</w:t>
      </w:r>
      <w:proofErr w:type="spellEnd"/>
      <w:r w:rsidRPr="00C3339E">
        <w:rPr>
          <w:sz w:val="16"/>
          <w:szCs w:val="16"/>
        </w:rPr>
        <w:t xml:space="preserve"> [Электронный ресурс]: </w:t>
      </w:r>
      <w:proofErr w:type="spellStart"/>
      <w:r w:rsidRPr="00C3339E">
        <w:rPr>
          <w:sz w:val="16"/>
          <w:szCs w:val="16"/>
        </w:rPr>
        <w:t>Securities</w:t>
      </w:r>
      <w:proofErr w:type="spellEnd"/>
      <w:r w:rsidRPr="00C3339E">
        <w:rPr>
          <w:sz w:val="16"/>
          <w:szCs w:val="16"/>
        </w:rPr>
        <w:t xml:space="preserve"> </w:t>
      </w:r>
      <w:proofErr w:type="spellStart"/>
      <w:r w:rsidRPr="00C3339E">
        <w:rPr>
          <w:sz w:val="16"/>
          <w:szCs w:val="16"/>
        </w:rPr>
        <w:t>Exchange</w:t>
      </w:r>
      <w:proofErr w:type="spellEnd"/>
      <w:r w:rsidRPr="00C3339E">
        <w:rPr>
          <w:sz w:val="16"/>
          <w:szCs w:val="16"/>
        </w:rPr>
        <w:t xml:space="preserve"> </w:t>
      </w:r>
      <w:proofErr w:type="spellStart"/>
      <w:r w:rsidRPr="00C3339E">
        <w:rPr>
          <w:sz w:val="16"/>
          <w:szCs w:val="16"/>
        </w:rPr>
        <w:t>Act</w:t>
      </w:r>
      <w:proofErr w:type="spellEnd"/>
      <w:r w:rsidRPr="00C3339E">
        <w:rPr>
          <w:sz w:val="16"/>
          <w:szCs w:val="16"/>
        </w:rPr>
        <w:t xml:space="preserve"> </w:t>
      </w:r>
      <w:proofErr w:type="spellStart"/>
      <w:r w:rsidRPr="00C3339E">
        <w:rPr>
          <w:sz w:val="16"/>
          <w:szCs w:val="16"/>
        </w:rPr>
        <w:t>of</w:t>
      </w:r>
      <w:proofErr w:type="spellEnd"/>
      <w:r w:rsidRPr="00C3339E">
        <w:rPr>
          <w:sz w:val="16"/>
          <w:szCs w:val="16"/>
        </w:rPr>
        <w:t xml:space="preserve"> 1934. – Режим доступа: </w:t>
      </w:r>
      <w:hyperlink r:id="rId31" w:history="1">
        <w:r w:rsidRPr="00C3339E">
          <w:rPr>
            <w:rStyle w:val="aa"/>
            <w:sz w:val="16"/>
            <w:szCs w:val="16"/>
          </w:rPr>
          <w:t>http://www.law.cornell.edu/wex/securities_exchange_act_of_1934</w:t>
        </w:r>
      </w:hyperlink>
      <w:r w:rsidRPr="00C3339E">
        <w:rPr>
          <w:sz w:val="16"/>
          <w:szCs w:val="16"/>
        </w:rPr>
        <w:t xml:space="preserve">,  свободный. – </w:t>
      </w:r>
      <w:proofErr w:type="spellStart"/>
      <w:r w:rsidRPr="00C3339E">
        <w:rPr>
          <w:sz w:val="16"/>
          <w:szCs w:val="16"/>
        </w:rPr>
        <w:t>Загл</w:t>
      </w:r>
      <w:proofErr w:type="spellEnd"/>
      <w:r w:rsidRPr="00C3339E">
        <w:rPr>
          <w:sz w:val="16"/>
          <w:szCs w:val="16"/>
        </w:rPr>
        <w:t>. с экрана.</w:t>
      </w:r>
    </w:p>
  </w:footnote>
  <w:footnote w:id="59">
    <w:p w:rsidR="00E24259" w:rsidRPr="002F79AC" w:rsidRDefault="00E24259" w:rsidP="000C308E">
      <w:pPr>
        <w:pStyle w:val="a7"/>
        <w:jc w:val="both"/>
      </w:pPr>
      <w:r w:rsidRPr="00A953B9">
        <w:rPr>
          <w:rStyle w:val="a9"/>
          <w:sz w:val="16"/>
          <w:szCs w:val="16"/>
        </w:rPr>
        <w:footnoteRef/>
      </w:r>
      <w:r w:rsidRPr="002F79AC">
        <w:t xml:space="preserve"> </w:t>
      </w:r>
      <w:proofErr w:type="spellStart"/>
      <w:r w:rsidRPr="002F79AC">
        <w:rPr>
          <w:sz w:val="16"/>
          <w:szCs w:val="16"/>
        </w:rPr>
        <w:t>Вавулин</w:t>
      </w:r>
      <w:proofErr w:type="spellEnd"/>
      <w:r w:rsidRPr="002F79AC">
        <w:rPr>
          <w:sz w:val="16"/>
          <w:szCs w:val="16"/>
        </w:rPr>
        <w:t xml:space="preserve"> Д.А., Федотов В.Н. Нарушение порядка раскрытия информации акционерными обществами. // СПС «Консультант Плюс».</w:t>
      </w:r>
      <w:r w:rsidRPr="002F79AC">
        <w:t xml:space="preserve"> </w:t>
      </w:r>
    </w:p>
  </w:footnote>
  <w:footnote w:id="60">
    <w:p w:rsidR="00E24259" w:rsidRPr="000801B2" w:rsidRDefault="00E24259" w:rsidP="000C308E">
      <w:pPr>
        <w:pStyle w:val="a7"/>
        <w:jc w:val="both"/>
        <w:rPr>
          <w:sz w:val="16"/>
        </w:rPr>
      </w:pPr>
      <w:r w:rsidRPr="000801B2">
        <w:rPr>
          <w:rStyle w:val="a9"/>
          <w:sz w:val="16"/>
        </w:rPr>
        <w:footnoteRef/>
      </w:r>
      <w:r w:rsidRPr="000801B2">
        <w:rPr>
          <w:sz w:val="16"/>
        </w:rPr>
        <w:t xml:space="preserve"> Приказ ФСФР</w:t>
      </w:r>
      <w:r>
        <w:rPr>
          <w:sz w:val="16"/>
        </w:rPr>
        <w:t xml:space="preserve"> РФ от 10.10.2006 N 06-117/</w:t>
      </w:r>
      <w:proofErr w:type="spellStart"/>
      <w:r>
        <w:rPr>
          <w:sz w:val="16"/>
        </w:rPr>
        <w:t>пз-н</w:t>
      </w:r>
      <w:proofErr w:type="spellEnd"/>
      <w:r>
        <w:rPr>
          <w:sz w:val="16"/>
        </w:rPr>
        <w:t xml:space="preserve"> </w:t>
      </w:r>
      <w:r w:rsidRPr="000801B2">
        <w:rPr>
          <w:sz w:val="16"/>
        </w:rPr>
        <w:t>"Об утверждении Положения о раскрытии информации эмитентами эмиссионных ценных бумаг"</w:t>
      </w:r>
      <w:r>
        <w:rPr>
          <w:sz w:val="16"/>
        </w:rPr>
        <w:t xml:space="preserve"> // СПС «Консультант Плюс».</w:t>
      </w:r>
    </w:p>
  </w:footnote>
  <w:footnote w:id="61">
    <w:p w:rsidR="00E24259" w:rsidRPr="00635A79" w:rsidRDefault="00E24259" w:rsidP="000C308E">
      <w:pPr>
        <w:pStyle w:val="a7"/>
        <w:jc w:val="both"/>
        <w:rPr>
          <w:sz w:val="16"/>
        </w:rPr>
      </w:pPr>
      <w:r w:rsidRPr="00635A79">
        <w:rPr>
          <w:rStyle w:val="a9"/>
          <w:sz w:val="16"/>
        </w:rPr>
        <w:footnoteRef/>
      </w:r>
      <w:r w:rsidRPr="00635A79">
        <w:rPr>
          <w:sz w:val="16"/>
        </w:rPr>
        <w:t xml:space="preserve"> </w:t>
      </w:r>
      <w:r>
        <w:rPr>
          <w:sz w:val="16"/>
        </w:rPr>
        <w:t xml:space="preserve">Постановление ФАС Уральского округа </w:t>
      </w:r>
      <w:r w:rsidRPr="00635A79">
        <w:rPr>
          <w:sz w:val="16"/>
        </w:rPr>
        <w:t>№ Ф09-11267/09-С1</w:t>
      </w:r>
      <w:r>
        <w:rPr>
          <w:sz w:val="16"/>
        </w:rPr>
        <w:t xml:space="preserve"> от 25.01.2010 по делу </w:t>
      </w:r>
      <w:r w:rsidRPr="00635A79">
        <w:rPr>
          <w:sz w:val="16"/>
        </w:rPr>
        <w:t>№ А60-33211/2009-С10</w:t>
      </w:r>
      <w:r>
        <w:rPr>
          <w:sz w:val="16"/>
        </w:rPr>
        <w:t xml:space="preserve"> // СПС «Консультант Плюс».</w:t>
      </w:r>
    </w:p>
  </w:footnote>
  <w:footnote w:id="62">
    <w:p w:rsidR="00E24259" w:rsidRDefault="00E24259" w:rsidP="000C308E">
      <w:pPr>
        <w:pStyle w:val="a7"/>
        <w:jc w:val="both"/>
      </w:pPr>
      <w:r w:rsidRPr="00635A79">
        <w:rPr>
          <w:rStyle w:val="a9"/>
          <w:sz w:val="16"/>
        </w:rPr>
        <w:footnoteRef/>
      </w:r>
      <w:r w:rsidRPr="00635A79">
        <w:rPr>
          <w:sz w:val="16"/>
        </w:rPr>
        <w:t xml:space="preserve"> Определение ВАС РФ № ВАС-2917/10 от 23.03.2010 г. // СПС «Консультант Плюс».</w:t>
      </w:r>
    </w:p>
  </w:footnote>
  <w:footnote w:id="63">
    <w:p w:rsidR="00E24259" w:rsidRDefault="00E24259" w:rsidP="000C308E">
      <w:pPr>
        <w:pStyle w:val="a7"/>
        <w:jc w:val="both"/>
      </w:pPr>
      <w:r w:rsidRPr="000D7ADC">
        <w:rPr>
          <w:rStyle w:val="a9"/>
          <w:sz w:val="16"/>
        </w:rPr>
        <w:footnoteRef/>
      </w:r>
      <w:r w:rsidRPr="000D7ADC">
        <w:rPr>
          <w:sz w:val="16"/>
        </w:rPr>
        <w:t xml:space="preserve"> Решение Арбитражного суда Свердловской области от 16.09.2009 г. п</w:t>
      </w:r>
      <w:r>
        <w:rPr>
          <w:sz w:val="16"/>
        </w:rPr>
        <w:t xml:space="preserve">о делу №А60-33211/2009-С10 </w:t>
      </w:r>
      <w:r w:rsidRPr="000D7ADC">
        <w:rPr>
          <w:sz w:val="16"/>
        </w:rPr>
        <w:t>// СПС «Консультант Плюс».</w:t>
      </w:r>
    </w:p>
  </w:footnote>
  <w:footnote w:id="64">
    <w:p w:rsidR="00E24259" w:rsidRPr="00595F7B" w:rsidRDefault="00E24259" w:rsidP="00A75F1E">
      <w:pPr>
        <w:pStyle w:val="a7"/>
        <w:jc w:val="both"/>
        <w:rPr>
          <w:sz w:val="16"/>
          <w:szCs w:val="16"/>
        </w:rPr>
      </w:pPr>
      <w:r w:rsidRPr="00595F7B">
        <w:rPr>
          <w:rStyle w:val="a9"/>
          <w:sz w:val="16"/>
          <w:szCs w:val="16"/>
        </w:rPr>
        <w:footnoteRef/>
      </w:r>
      <w:r w:rsidRPr="00595F7B">
        <w:rPr>
          <w:sz w:val="16"/>
          <w:szCs w:val="16"/>
        </w:rPr>
        <w:t xml:space="preserve"> Официальный сайт Комиссии по ценным бумагам и биржам США [Электронный ресурс]: </w:t>
      </w:r>
      <w:proofErr w:type="gramStart"/>
      <w:r w:rsidRPr="00595F7B">
        <w:rPr>
          <w:sz w:val="16"/>
          <w:szCs w:val="16"/>
          <w:lang w:val="en-US"/>
        </w:rPr>
        <w:t>Litigation</w:t>
      </w:r>
      <w:r w:rsidRPr="00595F7B">
        <w:rPr>
          <w:sz w:val="16"/>
          <w:szCs w:val="16"/>
        </w:rPr>
        <w:t>.</w:t>
      </w:r>
      <w:proofErr w:type="gramEnd"/>
      <w:r w:rsidRPr="00595F7B">
        <w:rPr>
          <w:sz w:val="16"/>
          <w:szCs w:val="16"/>
        </w:rPr>
        <w:t xml:space="preserve"> </w:t>
      </w:r>
      <w:proofErr w:type="gramStart"/>
      <w:r w:rsidRPr="00595F7B">
        <w:rPr>
          <w:sz w:val="16"/>
          <w:szCs w:val="16"/>
        </w:rPr>
        <w:t xml:space="preserve">– Режим доступа: </w:t>
      </w:r>
      <w:r w:rsidRPr="00595F7B">
        <w:rPr>
          <w:sz w:val="16"/>
          <w:szCs w:val="16"/>
          <w:lang w:val="en-US"/>
        </w:rPr>
        <w:t>http</w:t>
      </w:r>
      <w:r w:rsidRPr="00595F7B">
        <w:rPr>
          <w:sz w:val="16"/>
          <w:szCs w:val="16"/>
        </w:rPr>
        <w:t>://</w:t>
      </w:r>
      <w:r w:rsidRPr="00595F7B">
        <w:rPr>
          <w:sz w:val="16"/>
          <w:szCs w:val="16"/>
          <w:lang w:val="en-US"/>
        </w:rPr>
        <w:t>www</w:t>
      </w:r>
      <w:r w:rsidRPr="00595F7B">
        <w:rPr>
          <w:sz w:val="16"/>
          <w:szCs w:val="16"/>
        </w:rPr>
        <w:t>.</w:t>
      </w:r>
      <w:r w:rsidRPr="00595F7B">
        <w:rPr>
          <w:sz w:val="16"/>
          <w:szCs w:val="16"/>
          <w:lang w:val="en-US"/>
        </w:rPr>
        <w:t>sec</w:t>
      </w:r>
      <w:r w:rsidRPr="00595F7B">
        <w:rPr>
          <w:sz w:val="16"/>
          <w:szCs w:val="16"/>
        </w:rPr>
        <w:t>.</w:t>
      </w:r>
      <w:proofErr w:type="spellStart"/>
      <w:r w:rsidRPr="00595F7B">
        <w:rPr>
          <w:sz w:val="16"/>
          <w:szCs w:val="16"/>
          <w:lang w:val="en-US"/>
        </w:rPr>
        <w:t>gov</w:t>
      </w:r>
      <w:proofErr w:type="spellEnd"/>
      <w:r w:rsidRPr="00595F7B">
        <w:rPr>
          <w:sz w:val="16"/>
          <w:szCs w:val="16"/>
        </w:rPr>
        <w:t>/</w:t>
      </w:r>
      <w:r w:rsidRPr="00595F7B">
        <w:rPr>
          <w:sz w:val="16"/>
          <w:szCs w:val="16"/>
          <w:lang w:val="en-US"/>
        </w:rPr>
        <w:t>litigation</w:t>
      </w:r>
      <w:r w:rsidRPr="00595F7B">
        <w:rPr>
          <w:sz w:val="16"/>
          <w:szCs w:val="16"/>
        </w:rPr>
        <w:t>/</w:t>
      </w:r>
      <w:r w:rsidRPr="00595F7B">
        <w:rPr>
          <w:sz w:val="16"/>
          <w:szCs w:val="16"/>
          <w:lang w:val="en-US"/>
        </w:rPr>
        <w:t>admin</w:t>
      </w:r>
      <w:r w:rsidRPr="00595F7B">
        <w:rPr>
          <w:sz w:val="16"/>
          <w:szCs w:val="16"/>
        </w:rPr>
        <w:t>/2013/34-69046.</w:t>
      </w:r>
      <w:proofErr w:type="spellStart"/>
      <w:r w:rsidRPr="00595F7B">
        <w:rPr>
          <w:sz w:val="16"/>
          <w:szCs w:val="16"/>
          <w:lang w:val="en-US"/>
        </w:rPr>
        <w:t>pdf</w:t>
      </w:r>
      <w:proofErr w:type="spellEnd"/>
      <w:r w:rsidRPr="00595F7B">
        <w:rPr>
          <w:sz w:val="16"/>
          <w:szCs w:val="16"/>
        </w:rPr>
        <w:t xml:space="preserve"> , </w:t>
      </w:r>
      <w:hyperlink r:id="rId32" w:history="1">
        <w:r w:rsidRPr="00595F7B">
          <w:rPr>
            <w:rStyle w:val="aa"/>
            <w:sz w:val="16"/>
            <w:szCs w:val="16"/>
            <w:lang w:val="en-US"/>
          </w:rPr>
          <w:t>http</w:t>
        </w:r>
        <w:r w:rsidRPr="00595F7B">
          <w:rPr>
            <w:rStyle w:val="aa"/>
            <w:sz w:val="16"/>
            <w:szCs w:val="16"/>
          </w:rPr>
          <w:t>://</w:t>
        </w:r>
        <w:r w:rsidRPr="00595F7B">
          <w:rPr>
            <w:rStyle w:val="aa"/>
            <w:sz w:val="16"/>
            <w:szCs w:val="16"/>
            <w:lang w:val="en-US"/>
          </w:rPr>
          <w:t>www</w:t>
        </w:r>
        <w:r w:rsidRPr="00595F7B">
          <w:rPr>
            <w:rStyle w:val="aa"/>
            <w:sz w:val="16"/>
            <w:szCs w:val="16"/>
          </w:rPr>
          <w:t>.</w:t>
        </w:r>
        <w:r w:rsidRPr="00595F7B">
          <w:rPr>
            <w:rStyle w:val="aa"/>
            <w:sz w:val="16"/>
            <w:szCs w:val="16"/>
            <w:lang w:val="en-US"/>
          </w:rPr>
          <w:t>sec</w:t>
        </w:r>
        <w:r w:rsidRPr="00595F7B">
          <w:rPr>
            <w:rStyle w:val="aa"/>
            <w:sz w:val="16"/>
            <w:szCs w:val="16"/>
          </w:rPr>
          <w:t>.</w:t>
        </w:r>
        <w:r w:rsidRPr="00595F7B">
          <w:rPr>
            <w:rStyle w:val="aa"/>
            <w:sz w:val="16"/>
            <w:szCs w:val="16"/>
            <w:lang w:val="en-US"/>
          </w:rPr>
          <w:t>gov</w:t>
        </w:r>
        <w:r w:rsidRPr="00595F7B">
          <w:rPr>
            <w:rStyle w:val="aa"/>
            <w:sz w:val="16"/>
            <w:szCs w:val="16"/>
          </w:rPr>
          <w:t>/</w:t>
        </w:r>
        <w:r w:rsidRPr="00595F7B">
          <w:rPr>
            <w:rStyle w:val="aa"/>
            <w:sz w:val="16"/>
            <w:szCs w:val="16"/>
            <w:lang w:val="en-US"/>
          </w:rPr>
          <w:t>litigation</w:t>
        </w:r>
        <w:r w:rsidRPr="00595F7B">
          <w:rPr>
            <w:rStyle w:val="aa"/>
            <w:sz w:val="16"/>
            <w:szCs w:val="16"/>
          </w:rPr>
          <w:t>/</w:t>
        </w:r>
        <w:r w:rsidRPr="00595F7B">
          <w:rPr>
            <w:rStyle w:val="aa"/>
            <w:sz w:val="16"/>
            <w:szCs w:val="16"/>
            <w:lang w:val="en-US"/>
          </w:rPr>
          <w:t>admin</w:t>
        </w:r>
        <w:r w:rsidRPr="00595F7B">
          <w:rPr>
            <w:rStyle w:val="aa"/>
            <w:sz w:val="16"/>
            <w:szCs w:val="16"/>
          </w:rPr>
          <w:t>/2013/34-69116.</w:t>
        </w:r>
        <w:r w:rsidRPr="00595F7B">
          <w:rPr>
            <w:rStyle w:val="aa"/>
            <w:sz w:val="16"/>
            <w:szCs w:val="16"/>
            <w:lang w:val="en-US"/>
          </w:rPr>
          <w:t>pdf</w:t>
        </w:r>
      </w:hyperlink>
      <w:r w:rsidRPr="00595F7B">
        <w:rPr>
          <w:sz w:val="16"/>
          <w:szCs w:val="16"/>
        </w:rPr>
        <w:t xml:space="preserve">, </w:t>
      </w:r>
      <w:hyperlink r:id="rId33" w:history="1">
        <w:proofErr w:type="gramEnd"/>
        <w:r w:rsidRPr="00595F7B">
          <w:rPr>
            <w:rStyle w:val="aa"/>
            <w:sz w:val="16"/>
            <w:szCs w:val="16"/>
            <w:lang w:val="en-US"/>
          </w:rPr>
          <w:t>http</w:t>
        </w:r>
        <w:r w:rsidRPr="00595F7B">
          <w:rPr>
            <w:rStyle w:val="aa"/>
            <w:sz w:val="16"/>
            <w:szCs w:val="16"/>
          </w:rPr>
          <w:t>://</w:t>
        </w:r>
        <w:r w:rsidRPr="00595F7B">
          <w:rPr>
            <w:rStyle w:val="aa"/>
            <w:sz w:val="16"/>
            <w:szCs w:val="16"/>
            <w:lang w:val="en-US"/>
          </w:rPr>
          <w:t>www</w:t>
        </w:r>
        <w:r w:rsidRPr="00595F7B">
          <w:rPr>
            <w:rStyle w:val="aa"/>
            <w:sz w:val="16"/>
            <w:szCs w:val="16"/>
          </w:rPr>
          <w:t>.</w:t>
        </w:r>
        <w:r w:rsidRPr="00595F7B">
          <w:rPr>
            <w:rStyle w:val="aa"/>
            <w:sz w:val="16"/>
            <w:szCs w:val="16"/>
            <w:lang w:val="en-US"/>
          </w:rPr>
          <w:t>sec</w:t>
        </w:r>
        <w:r w:rsidRPr="00595F7B">
          <w:rPr>
            <w:rStyle w:val="aa"/>
            <w:sz w:val="16"/>
            <w:szCs w:val="16"/>
          </w:rPr>
          <w:t>.</w:t>
        </w:r>
        <w:r w:rsidRPr="00595F7B">
          <w:rPr>
            <w:rStyle w:val="aa"/>
            <w:sz w:val="16"/>
            <w:szCs w:val="16"/>
            <w:lang w:val="en-US"/>
          </w:rPr>
          <w:t>gov</w:t>
        </w:r>
        <w:r w:rsidRPr="00595F7B">
          <w:rPr>
            <w:rStyle w:val="aa"/>
            <w:sz w:val="16"/>
            <w:szCs w:val="16"/>
          </w:rPr>
          <w:t>/</w:t>
        </w:r>
        <w:r w:rsidRPr="00595F7B">
          <w:rPr>
            <w:rStyle w:val="aa"/>
            <w:sz w:val="16"/>
            <w:szCs w:val="16"/>
            <w:lang w:val="en-US"/>
          </w:rPr>
          <w:t>litigation</w:t>
        </w:r>
        <w:r w:rsidRPr="00595F7B">
          <w:rPr>
            <w:rStyle w:val="aa"/>
            <w:sz w:val="16"/>
            <w:szCs w:val="16"/>
          </w:rPr>
          <w:t>/</w:t>
        </w:r>
        <w:r w:rsidRPr="00595F7B">
          <w:rPr>
            <w:rStyle w:val="aa"/>
            <w:sz w:val="16"/>
            <w:szCs w:val="16"/>
            <w:lang w:val="en-US"/>
          </w:rPr>
          <w:t>admin</w:t>
        </w:r>
        <w:r w:rsidRPr="00595F7B">
          <w:rPr>
            <w:rStyle w:val="aa"/>
            <w:sz w:val="16"/>
            <w:szCs w:val="16"/>
          </w:rPr>
          <w:t>/2013/34-69117.</w:t>
        </w:r>
        <w:r w:rsidRPr="00595F7B">
          <w:rPr>
            <w:rStyle w:val="aa"/>
            <w:sz w:val="16"/>
            <w:szCs w:val="16"/>
            <w:lang w:val="en-US"/>
          </w:rPr>
          <w:t>pdf</w:t>
        </w:r>
        <w:proofErr w:type="gramStart"/>
      </w:hyperlink>
      <w:r w:rsidRPr="00595F7B">
        <w:rPr>
          <w:sz w:val="16"/>
          <w:szCs w:val="16"/>
        </w:rPr>
        <w:t xml:space="preserve">, </w:t>
      </w:r>
      <w:hyperlink r:id="rId34" w:history="1">
        <w:r w:rsidRPr="00595F7B">
          <w:rPr>
            <w:rStyle w:val="aa"/>
            <w:sz w:val="16"/>
            <w:szCs w:val="16"/>
            <w:lang w:val="en-US"/>
          </w:rPr>
          <w:t>http</w:t>
        </w:r>
        <w:r w:rsidRPr="00595F7B">
          <w:rPr>
            <w:rStyle w:val="aa"/>
            <w:sz w:val="16"/>
            <w:szCs w:val="16"/>
          </w:rPr>
          <w:t>://</w:t>
        </w:r>
        <w:r w:rsidRPr="00595F7B">
          <w:rPr>
            <w:rStyle w:val="aa"/>
            <w:sz w:val="16"/>
            <w:szCs w:val="16"/>
            <w:lang w:val="en-US"/>
          </w:rPr>
          <w:t>www</w:t>
        </w:r>
        <w:r w:rsidRPr="00595F7B">
          <w:rPr>
            <w:rStyle w:val="aa"/>
            <w:sz w:val="16"/>
            <w:szCs w:val="16"/>
          </w:rPr>
          <w:t>.</w:t>
        </w:r>
        <w:r w:rsidRPr="00595F7B">
          <w:rPr>
            <w:rStyle w:val="aa"/>
            <w:sz w:val="16"/>
            <w:szCs w:val="16"/>
            <w:lang w:val="en-US"/>
          </w:rPr>
          <w:t>sec</w:t>
        </w:r>
        <w:r w:rsidRPr="00595F7B">
          <w:rPr>
            <w:rStyle w:val="aa"/>
            <w:sz w:val="16"/>
            <w:szCs w:val="16"/>
          </w:rPr>
          <w:t>.</w:t>
        </w:r>
        <w:r w:rsidRPr="00595F7B">
          <w:rPr>
            <w:rStyle w:val="aa"/>
            <w:sz w:val="16"/>
            <w:szCs w:val="16"/>
            <w:lang w:val="en-US"/>
          </w:rPr>
          <w:t>gov</w:t>
        </w:r>
        <w:r w:rsidRPr="00595F7B">
          <w:rPr>
            <w:rStyle w:val="aa"/>
            <w:sz w:val="16"/>
            <w:szCs w:val="16"/>
          </w:rPr>
          <w:t>/</w:t>
        </w:r>
        <w:r w:rsidRPr="00595F7B">
          <w:rPr>
            <w:rStyle w:val="aa"/>
            <w:sz w:val="16"/>
            <w:szCs w:val="16"/>
            <w:lang w:val="en-US"/>
          </w:rPr>
          <w:t>litigation</w:t>
        </w:r>
        <w:r w:rsidRPr="00595F7B">
          <w:rPr>
            <w:rStyle w:val="aa"/>
            <w:sz w:val="16"/>
            <w:szCs w:val="16"/>
          </w:rPr>
          <w:t>/</w:t>
        </w:r>
        <w:r w:rsidRPr="00595F7B">
          <w:rPr>
            <w:rStyle w:val="aa"/>
            <w:sz w:val="16"/>
            <w:szCs w:val="16"/>
            <w:lang w:val="en-US"/>
          </w:rPr>
          <w:t>admin</w:t>
        </w:r>
        <w:r w:rsidRPr="00595F7B">
          <w:rPr>
            <w:rStyle w:val="aa"/>
            <w:sz w:val="16"/>
            <w:szCs w:val="16"/>
          </w:rPr>
          <w:t>/2013/34-69260.</w:t>
        </w:r>
        <w:r w:rsidRPr="00595F7B">
          <w:rPr>
            <w:rStyle w:val="aa"/>
            <w:sz w:val="16"/>
            <w:szCs w:val="16"/>
            <w:lang w:val="en-US"/>
          </w:rPr>
          <w:t>pdf</w:t>
        </w:r>
      </w:hyperlink>
      <w:r w:rsidRPr="00595F7B">
        <w:rPr>
          <w:sz w:val="16"/>
          <w:szCs w:val="16"/>
        </w:rPr>
        <w:t xml:space="preserve">, </w:t>
      </w:r>
      <w:hyperlink r:id="rId35" w:history="1">
        <w:proofErr w:type="gramEnd"/>
        <w:r w:rsidRPr="00595F7B">
          <w:rPr>
            <w:rStyle w:val="aa"/>
            <w:sz w:val="16"/>
            <w:szCs w:val="16"/>
            <w:lang w:val="en-US"/>
          </w:rPr>
          <w:t>http</w:t>
        </w:r>
        <w:r w:rsidRPr="00595F7B">
          <w:rPr>
            <w:rStyle w:val="aa"/>
            <w:sz w:val="16"/>
            <w:szCs w:val="16"/>
          </w:rPr>
          <w:t>://</w:t>
        </w:r>
        <w:r w:rsidRPr="00595F7B">
          <w:rPr>
            <w:rStyle w:val="aa"/>
            <w:sz w:val="16"/>
            <w:szCs w:val="16"/>
            <w:lang w:val="en-US"/>
          </w:rPr>
          <w:t>www</w:t>
        </w:r>
        <w:r w:rsidRPr="00595F7B">
          <w:rPr>
            <w:rStyle w:val="aa"/>
            <w:sz w:val="16"/>
            <w:szCs w:val="16"/>
          </w:rPr>
          <w:t>.</w:t>
        </w:r>
        <w:r w:rsidRPr="00595F7B">
          <w:rPr>
            <w:rStyle w:val="aa"/>
            <w:sz w:val="16"/>
            <w:szCs w:val="16"/>
            <w:lang w:val="en-US"/>
          </w:rPr>
          <w:t>sec</w:t>
        </w:r>
        <w:r w:rsidRPr="00595F7B">
          <w:rPr>
            <w:rStyle w:val="aa"/>
            <w:sz w:val="16"/>
            <w:szCs w:val="16"/>
          </w:rPr>
          <w:t>.</w:t>
        </w:r>
        <w:r w:rsidRPr="00595F7B">
          <w:rPr>
            <w:rStyle w:val="aa"/>
            <w:sz w:val="16"/>
            <w:szCs w:val="16"/>
            <w:lang w:val="en-US"/>
          </w:rPr>
          <w:t>gov</w:t>
        </w:r>
        <w:r w:rsidRPr="00595F7B">
          <w:rPr>
            <w:rStyle w:val="aa"/>
            <w:sz w:val="16"/>
            <w:szCs w:val="16"/>
          </w:rPr>
          <w:t>/</w:t>
        </w:r>
        <w:r w:rsidRPr="00595F7B">
          <w:rPr>
            <w:rStyle w:val="aa"/>
            <w:sz w:val="16"/>
            <w:szCs w:val="16"/>
            <w:lang w:val="en-US"/>
          </w:rPr>
          <w:t>litigation</w:t>
        </w:r>
        <w:r w:rsidRPr="00595F7B">
          <w:rPr>
            <w:rStyle w:val="aa"/>
            <w:sz w:val="16"/>
            <w:szCs w:val="16"/>
          </w:rPr>
          <w:t>/</w:t>
        </w:r>
        <w:r w:rsidRPr="00595F7B">
          <w:rPr>
            <w:rStyle w:val="aa"/>
            <w:sz w:val="16"/>
            <w:szCs w:val="16"/>
            <w:lang w:val="en-US"/>
          </w:rPr>
          <w:t>admin</w:t>
        </w:r>
        <w:r w:rsidRPr="00595F7B">
          <w:rPr>
            <w:rStyle w:val="aa"/>
            <w:sz w:val="16"/>
            <w:szCs w:val="16"/>
          </w:rPr>
          <w:t>/2012/33-9371.</w:t>
        </w:r>
        <w:r w:rsidRPr="00595F7B">
          <w:rPr>
            <w:rStyle w:val="aa"/>
            <w:sz w:val="16"/>
            <w:szCs w:val="16"/>
            <w:lang w:val="en-US"/>
          </w:rPr>
          <w:t>pdf</w:t>
        </w:r>
        <w:proofErr w:type="gramStart"/>
      </w:hyperlink>
      <w:r w:rsidRPr="00595F7B">
        <w:rPr>
          <w:sz w:val="16"/>
          <w:szCs w:val="16"/>
        </w:rPr>
        <w:t xml:space="preserve">, </w:t>
      </w:r>
      <w:hyperlink r:id="rId36" w:history="1">
        <w:r w:rsidRPr="00595F7B">
          <w:rPr>
            <w:rStyle w:val="aa"/>
            <w:sz w:val="16"/>
            <w:szCs w:val="16"/>
            <w:lang w:val="en-US"/>
          </w:rPr>
          <w:t>http</w:t>
        </w:r>
        <w:r w:rsidRPr="00595F7B">
          <w:rPr>
            <w:rStyle w:val="aa"/>
            <w:sz w:val="16"/>
            <w:szCs w:val="16"/>
          </w:rPr>
          <w:t>://</w:t>
        </w:r>
        <w:r w:rsidRPr="00595F7B">
          <w:rPr>
            <w:rStyle w:val="aa"/>
            <w:sz w:val="16"/>
            <w:szCs w:val="16"/>
            <w:lang w:val="en-US"/>
          </w:rPr>
          <w:t>www</w:t>
        </w:r>
        <w:r w:rsidRPr="00595F7B">
          <w:rPr>
            <w:rStyle w:val="aa"/>
            <w:sz w:val="16"/>
            <w:szCs w:val="16"/>
          </w:rPr>
          <w:t>.</w:t>
        </w:r>
        <w:r w:rsidRPr="00595F7B">
          <w:rPr>
            <w:rStyle w:val="aa"/>
            <w:sz w:val="16"/>
            <w:szCs w:val="16"/>
            <w:lang w:val="en-US"/>
          </w:rPr>
          <w:t>sec</w:t>
        </w:r>
        <w:r w:rsidRPr="00595F7B">
          <w:rPr>
            <w:rStyle w:val="aa"/>
            <w:sz w:val="16"/>
            <w:szCs w:val="16"/>
          </w:rPr>
          <w:t>.</w:t>
        </w:r>
        <w:proofErr w:type="spellStart"/>
        <w:r w:rsidRPr="00595F7B">
          <w:rPr>
            <w:rStyle w:val="aa"/>
            <w:sz w:val="16"/>
            <w:szCs w:val="16"/>
            <w:lang w:val="en-US"/>
          </w:rPr>
          <w:t>gov</w:t>
        </w:r>
        <w:proofErr w:type="spellEnd"/>
        <w:r w:rsidRPr="00595F7B">
          <w:rPr>
            <w:rStyle w:val="aa"/>
            <w:sz w:val="16"/>
            <w:szCs w:val="16"/>
          </w:rPr>
          <w:t>/</w:t>
        </w:r>
        <w:r w:rsidRPr="00595F7B">
          <w:rPr>
            <w:rStyle w:val="aa"/>
            <w:sz w:val="16"/>
            <w:szCs w:val="16"/>
            <w:lang w:val="en-US"/>
          </w:rPr>
          <w:t>litigation</w:t>
        </w:r>
        <w:r w:rsidRPr="00595F7B">
          <w:rPr>
            <w:rStyle w:val="aa"/>
            <w:sz w:val="16"/>
            <w:szCs w:val="16"/>
          </w:rPr>
          <w:t>/</w:t>
        </w:r>
        <w:r w:rsidRPr="00595F7B">
          <w:rPr>
            <w:rStyle w:val="aa"/>
            <w:sz w:val="16"/>
            <w:szCs w:val="16"/>
            <w:lang w:val="en-US"/>
          </w:rPr>
          <w:t>admin</w:t>
        </w:r>
        <w:r w:rsidRPr="00595F7B">
          <w:rPr>
            <w:rStyle w:val="aa"/>
            <w:sz w:val="16"/>
            <w:szCs w:val="16"/>
          </w:rPr>
          <w:t>/2013/3 4-69206.</w:t>
        </w:r>
        <w:proofErr w:type="spellStart"/>
        <w:r w:rsidRPr="00595F7B">
          <w:rPr>
            <w:rStyle w:val="aa"/>
            <w:sz w:val="16"/>
            <w:szCs w:val="16"/>
            <w:lang w:val="en-US"/>
          </w:rPr>
          <w:t>pdf</w:t>
        </w:r>
        <w:proofErr w:type="spellEnd"/>
      </w:hyperlink>
      <w:r w:rsidRPr="00595F7B">
        <w:rPr>
          <w:sz w:val="16"/>
          <w:szCs w:val="16"/>
        </w:rPr>
        <w:t>, свободный.</w:t>
      </w:r>
      <w:proofErr w:type="gramEnd"/>
      <w:r w:rsidRPr="00595F7B">
        <w:rPr>
          <w:sz w:val="16"/>
          <w:szCs w:val="16"/>
        </w:rPr>
        <w:t xml:space="preserve"> – </w:t>
      </w:r>
      <w:proofErr w:type="spellStart"/>
      <w:r w:rsidRPr="00595F7B">
        <w:rPr>
          <w:sz w:val="16"/>
          <w:szCs w:val="16"/>
        </w:rPr>
        <w:t>Загл</w:t>
      </w:r>
      <w:proofErr w:type="spellEnd"/>
      <w:r w:rsidRPr="00595F7B">
        <w:rPr>
          <w:sz w:val="16"/>
          <w:szCs w:val="16"/>
        </w:rPr>
        <w:t xml:space="preserve">. с экрана.  </w:t>
      </w:r>
    </w:p>
  </w:footnote>
  <w:footnote w:id="65">
    <w:p w:rsidR="00E24259" w:rsidRPr="00D877A9" w:rsidRDefault="00E24259" w:rsidP="00D41857">
      <w:pPr>
        <w:pStyle w:val="a7"/>
        <w:jc w:val="both"/>
      </w:pPr>
      <w:r w:rsidRPr="00244F11">
        <w:rPr>
          <w:rStyle w:val="a9"/>
          <w:sz w:val="16"/>
        </w:rPr>
        <w:footnoteRef/>
      </w:r>
      <w:r w:rsidRPr="00244F11">
        <w:rPr>
          <w:sz w:val="16"/>
        </w:rPr>
        <w:t xml:space="preserve"> </w:t>
      </w:r>
      <w:r w:rsidRPr="005971DE">
        <w:rPr>
          <w:sz w:val="16"/>
          <w:szCs w:val="16"/>
        </w:rPr>
        <w:t xml:space="preserve">Официальный сайт Федеральной службы по финансовым рынкам России [Электронный ресурс]: </w:t>
      </w:r>
      <w:r w:rsidRPr="00244F11">
        <w:rPr>
          <w:sz w:val="16"/>
        </w:rPr>
        <w:t>Информация об административных взысканиях</w:t>
      </w:r>
      <w:r>
        <w:rPr>
          <w:sz w:val="16"/>
        </w:rPr>
        <w:t>, наложенных ФСФР России</w:t>
      </w:r>
      <w:r w:rsidRPr="00244F11">
        <w:rPr>
          <w:sz w:val="16"/>
        </w:rPr>
        <w:t xml:space="preserve"> за сентябрь 2012 года</w:t>
      </w:r>
      <w:r w:rsidRPr="005971DE">
        <w:rPr>
          <w:sz w:val="16"/>
          <w:szCs w:val="16"/>
        </w:rPr>
        <w:t xml:space="preserve">. – Режим доступа: </w:t>
      </w:r>
      <w:proofErr w:type="spellStart"/>
      <w:r w:rsidRPr="00244F11">
        <w:rPr>
          <w:sz w:val="16"/>
          <w:lang w:val="en-US"/>
        </w:rPr>
        <w:t>ttp</w:t>
      </w:r>
      <w:proofErr w:type="spellEnd"/>
      <w:r w:rsidRPr="00244F11">
        <w:rPr>
          <w:sz w:val="16"/>
        </w:rPr>
        <w:t>://</w:t>
      </w:r>
      <w:r w:rsidRPr="00244F11">
        <w:rPr>
          <w:sz w:val="16"/>
          <w:lang w:val="en-US"/>
        </w:rPr>
        <w:t>www</w:t>
      </w:r>
      <w:r w:rsidRPr="00244F11">
        <w:rPr>
          <w:sz w:val="16"/>
        </w:rPr>
        <w:t>.</w:t>
      </w:r>
      <w:proofErr w:type="spellStart"/>
      <w:r w:rsidRPr="00244F11">
        <w:rPr>
          <w:sz w:val="16"/>
          <w:lang w:val="en-US"/>
        </w:rPr>
        <w:t>fcsm</w:t>
      </w:r>
      <w:proofErr w:type="spellEnd"/>
      <w:r w:rsidRPr="00244F11">
        <w:rPr>
          <w:sz w:val="16"/>
        </w:rPr>
        <w:t>.</w:t>
      </w:r>
      <w:proofErr w:type="spellStart"/>
      <w:r w:rsidRPr="00244F11">
        <w:rPr>
          <w:sz w:val="16"/>
          <w:lang w:val="en-US"/>
        </w:rPr>
        <w:t>ru</w:t>
      </w:r>
      <w:proofErr w:type="spellEnd"/>
      <w:r w:rsidRPr="00244F11">
        <w:rPr>
          <w:sz w:val="16"/>
        </w:rPr>
        <w:t>/</w:t>
      </w:r>
      <w:proofErr w:type="spellStart"/>
      <w:r w:rsidRPr="00244F11">
        <w:rPr>
          <w:sz w:val="16"/>
          <w:lang w:val="en-US"/>
        </w:rPr>
        <w:t>ru</w:t>
      </w:r>
      <w:proofErr w:type="spellEnd"/>
      <w:r w:rsidRPr="00244F11">
        <w:rPr>
          <w:sz w:val="16"/>
        </w:rPr>
        <w:t>/</w:t>
      </w:r>
      <w:r w:rsidRPr="00244F11">
        <w:rPr>
          <w:sz w:val="16"/>
          <w:lang w:val="en-US"/>
        </w:rPr>
        <w:t>enforcement</w:t>
      </w:r>
      <w:r w:rsidRPr="00244F11">
        <w:rPr>
          <w:sz w:val="16"/>
        </w:rPr>
        <w:t>/</w:t>
      </w:r>
      <w:r w:rsidRPr="00244F11">
        <w:rPr>
          <w:sz w:val="16"/>
          <w:lang w:val="en-US"/>
        </w:rPr>
        <w:t>sanctions</w:t>
      </w:r>
      <w:r w:rsidRPr="00244F11">
        <w:rPr>
          <w:sz w:val="16"/>
        </w:rPr>
        <w:t>/</w:t>
      </w:r>
      <w:r w:rsidRPr="00244F11">
        <w:rPr>
          <w:sz w:val="16"/>
          <w:lang w:val="en-US"/>
        </w:rPr>
        <w:t>index</w:t>
      </w:r>
      <w:r w:rsidRPr="00244F11">
        <w:rPr>
          <w:sz w:val="16"/>
        </w:rPr>
        <w:t>.</w:t>
      </w:r>
      <w:proofErr w:type="spellStart"/>
      <w:r w:rsidRPr="00244F11">
        <w:rPr>
          <w:sz w:val="16"/>
          <w:lang w:val="en-US"/>
        </w:rPr>
        <w:t>php</w:t>
      </w:r>
      <w:proofErr w:type="spellEnd"/>
      <w:r w:rsidRPr="00244F11">
        <w:rPr>
          <w:sz w:val="16"/>
        </w:rPr>
        <w:t>?</w:t>
      </w:r>
      <w:r w:rsidRPr="00244F11">
        <w:rPr>
          <w:sz w:val="16"/>
          <w:lang w:val="en-US"/>
        </w:rPr>
        <w:t>id</w:t>
      </w:r>
      <w:r w:rsidRPr="00244F11">
        <w:rPr>
          <w:sz w:val="16"/>
        </w:rPr>
        <w:t>_4=248</w:t>
      </w:r>
      <w:r>
        <w:rPr>
          <w:sz w:val="16"/>
        </w:rPr>
        <w:t xml:space="preserve">, свободный. – </w:t>
      </w:r>
      <w:proofErr w:type="spellStart"/>
      <w:r>
        <w:rPr>
          <w:sz w:val="16"/>
        </w:rPr>
        <w:t>Загл</w:t>
      </w:r>
      <w:proofErr w:type="spellEnd"/>
      <w:r>
        <w:rPr>
          <w:sz w:val="16"/>
        </w:rPr>
        <w:t xml:space="preserve">. с экрана. </w:t>
      </w:r>
    </w:p>
  </w:footnote>
  <w:footnote w:id="66">
    <w:p w:rsidR="00E24259" w:rsidRPr="0059736A" w:rsidRDefault="00E24259" w:rsidP="001F6A54">
      <w:pPr>
        <w:pStyle w:val="a7"/>
        <w:jc w:val="both"/>
        <w:rPr>
          <w:sz w:val="16"/>
          <w:szCs w:val="16"/>
        </w:rPr>
      </w:pPr>
      <w:r w:rsidRPr="0059736A">
        <w:rPr>
          <w:rStyle w:val="a9"/>
          <w:sz w:val="16"/>
          <w:szCs w:val="16"/>
        </w:rPr>
        <w:footnoteRef/>
      </w:r>
      <w:r w:rsidRPr="0059736A">
        <w:rPr>
          <w:sz w:val="16"/>
          <w:szCs w:val="16"/>
        </w:rPr>
        <w:t xml:space="preserve"> Постановление Девятого арбитражного апелляционного суда № 09АП-2095/2013 от 26.02.2013 по делу № А40-128686/12-33-187. // </w:t>
      </w:r>
      <w:hyperlink r:id="rId37" w:history="1">
        <w:r w:rsidRPr="0059736A">
          <w:rPr>
            <w:rStyle w:val="aa"/>
            <w:sz w:val="16"/>
            <w:szCs w:val="16"/>
          </w:rPr>
          <w:t>СПС</w:t>
        </w:r>
      </w:hyperlink>
      <w:r w:rsidRPr="0059736A">
        <w:rPr>
          <w:sz w:val="16"/>
          <w:szCs w:val="16"/>
        </w:rPr>
        <w:t xml:space="preserve"> «Консультант Плюс».</w:t>
      </w:r>
    </w:p>
  </w:footnote>
  <w:footnote w:id="67">
    <w:p w:rsidR="00E24259" w:rsidRPr="0059736A" w:rsidRDefault="00E24259" w:rsidP="0059736A">
      <w:pPr>
        <w:spacing w:after="0"/>
        <w:jc w:val="both"/>
        <w:rPr>
          <w:sz w:val="16"/>
          <w:szCs w:val="16"/>
        </w:rPr>
      </w:pPr>
      <w:r w:rsidRPr="0059736A">
        <w:rPr>
          <w:rStyle w:val="a9"/>
          <w:sz w:val="16"/>
          <w:szCs w:val="16"/>
        </w:rPr>
        <w:footnoteRef/>
      </w:r>
      <w:r w:rsidRPr="0059736A">
        <w:rPr>
          <w:sz w:val="16"/>
          <w:szCs w:val="16"/>
        </w:rPr>
        <w:t xml:space="preserve"> Официальный сайт Федеральной службы по финансовым рынкам России [Электронный ресурс]: Информация об административных взысканиях, наложенных ФСФР России за сентябрь 2012 года. – Режим доступа: </w:t>
      </w:r>
      <w:proofErr w:type="spellStart"/>
      <w:r w:rsidRPr="0059736A">
        <w:rPr>
          <w:sz w:val="16"/>
          <w:szCs w:val="16"/>
          <w:lang w:val="en-US"/>
        </w:rPr>
        <w:t>ttp</w:t>
      </w:r>
      <w:proofErr w:type="spellEnd"/>
      <w:r w:rsidRPr="0059736A">
        <w:rPr>
          <w:sz w:val="16"/>
          <w:szCs w:val="16"/>
        </w:rPr>
        <w:t>://</w:t>
      </w:r>
      <w:r w:rsidRPr="0059736A">
        <w:rPr>
          <w:sz w:val="16"/>
          <w:szCs w:val="16"/>
          <w:lang w:val="en-US"/>
        </w:rPr>
        <w:t>www</w:t>
      </w:r>
      <w:r w:rsidRPr="0059736A">
        <w:rPr>
          <w:sz w:val="16"/>
          <w:szCs w:val="16"/>
        </w:rPr>
        <w:t>.</w:t>
      </w:r>
      <w:proofErr w:type="spellStart"/>
      <w:r w:rsidRPr="0059736A">
        <w:rPr>
          <w:sz w:val="16"/>
          <w:szCs w:val="16"/>
          <w:lang w:val="en-US"/>
        </w:rPr>
        <w:t>fcsm</w:t>
      </w:r>
      <w:proofErr w:type="spellEnd"/>
      <w:r w:rsidRPr="0059736A">
        <w:rPr>
          <w:sz w:val="16"/>
          <w:szCs w:val="16"/>
        </w:rPr>
        <w:t>.</w:t>
      </w:r>
      <w:proofErr w:type="spellStart"/>
      <w:r w:rsidRPr="0059736A">
        <w:rPr>
          <w:sz w:val="16"/>
          <w:szCs w:val="16"/>
          <w:lang w:val="en-US"/>
        </w:rPr>
        <w:t>ru</w:t>
      </w:r>
      <w:proofErr w:type="spellEnd"/>
      <w:r w:rsidRPr="0059736A">
        <w:rPr>
          <w:sz w:val="16"/>
          <w:szCs w:val="16"/>
        </w:rPr>
        <w:t>/</w:t>
      </w:r>
      <w:proofErr w:type="spellStart"/>
      <w:r w:rsidRPr="0059736A">
        <w:rPr>
          <w:sz w:val="16"/>
          <w:szCs w:val="16"/>
          <w:lang w:val="en-US"/>
        </w:rPr>
        <w:t>ru</w:t>
      </w:r>
      <w:proofErr w:type="spellEnd"/>
      <w:r w:rsidRPr="0059736A">
        <w:rPr>
          <w:sz w:val="16"/>
          <w:szCs w:val="16"/>
        </w:rPr>
        <w:t>/</w:t>
      </w:r>
      <w:r w:rsidRPr="0059736A">
        <w:rPr>
          <w:sz w:val="16"/>
          <w:szCs w:val="16"/>
          <w:lang w:val="en-US"/>
        </w:rPr>
        <w:t>enforcement</w:t>
      </w:r>
      <w:r w:rsidRPr="0059736A">
        <w:rPr>
          <w:sz w:val="16"/>
          <w:szCs w:val="16"/>
        </w:rPr>
        <w:t>/</w:t>
      </w:r>
      <w:r w:rsidRPr="0059736A">
        <w:rPr>
          <w:sz w:val="16"/>
          <w:szCs w:val="16"/>
          <w:lang w:val="en-US"/>
        </w:rPr>
        <w:t>sanctions</w:t>
      </w:r>
      <w:r w:rsidRPr="0059736A">
        <w:rPr>
          <w:sz w:val="16"/>
          <w:szCs w:val="16"/>
        </w:rPr>
        <w:t>/</w:t>
      </w:r>
      <w:r w:rsidRPr="0059736A">
        <w:rPr>
          <w:sz w:val="16"/>
          <w:szCs w:val="16"/>
          <w:lang w:val="en-US"/>
        </w:rPr>
        <w:t>index</w:t>
      </w:r>
      <w:r w:rsidRPr="0059736A">
        <w:rPr>
          <w:sz w:val="16"/>
          <w:szCs w:val="16"/>
        </w:rPr>
        <w:t>.</w:t>
      </w:r>
      <w:proofErr w:type="spellStart"/>
      <w:r w:rsidRPr="0059736A">
        <w:rPr>
          <w:sz w:val="16"/>
          <w:szCs w:val="16"/>
          <w:lang w:val="en-US"/>
        </w:rPr>
        <w:t>php</w:t>
      </w:r>
      <w:proofErr w:type="spellEnd"/>
      <w:r w:rsidRPr="0059736A">
        <w:rPr>
          <w:sz w:val="16"/>
          <w:szCs w:val="16"/>
        </w:rPr>
        <w:t>?</w:t>
      </w:r>
      <w:r w:rsidRPr="0059736A">
        <w:rPr>
          <w:sz w:val="16"/>
          <w:szCs w:val="16"/>
          <w:lang w:val="en-US"/>
        </w:rPr>
        <w:t>id</w:t>
      </w:r>
      <w:r w:rsidRPr="0059736A">
        <w:rPr>
          <w:sz w:val="16"/>
          <w:szCs w:val="16"/>
        </w:rPr>
        <w:t xml:space="preserve">_4=248, свободный. – </w:t>
      </w:r>
      <w:proofErr w:type="spellStart"/>
      <w:r w:rsidRPr="0059736A">
        <w:rPr>
          <w:sz w:val="16"/>
          <w:szCs w:val="16"/>
        </w:rPr>
        <w:t>Загл</w:t>
      </w:r>
      <w:proofErr w:type="spellEnd"/>
      <w:r w:rsidRPr="0059736A">
        <w:rPr>
          <w:sz w:val="16"/>
          <w:szCs w:val="16"/>
        </w:rPr>
        <w:t>. с экрана.</w:t>
      </w:r>
    </w:p>
  </w:footnote>
  <w:footnote w:id="68">
    <w:p w:rsidR="00E24259" w:rsidRPr="0059736A" w:rsidRDefault="00E24259" w:rsidP="0059736A">
      <w:pPr>
        <w:pStyle w:val="a7"/>
        <w:jc w:val="both"/>
        <w:rPr>
          <w:sz w:val="16"/>
          <w:szCs w:val="16"/>
        </w:rPr>
      </w:pPr>
      <w:r w:rsidRPr="0059736A">
        <w:rPr>
          <w:rStyle w:val="a9"/>
          <w:sz w:val="16"/>
          <w:szCs w:val="16"/>
        </w:rPr>
        <w:footnoteRef/>
      </w:r>
      <w:r w:rsidRPr="0059736A">
        <w:rPr>
          <w:sz w:val="16"/>
          <w:szCs w:val="16"/>
        </w:rPr>
        <w:t xml:space="preserve"> Путеводитель по корпоративным спорам. Вопросы судебной практики: Административная ответственность акционерных обществ за неисполнение ими требований по раскрытию информации // СПС «Консультант Плюс». </w:t>
      </w:r>
    </w:p>
  </w:footnote>
  <w:footnote w:id="69">
    <w:p w:rsidR="00E24259" w:rsidRPr="001F6A54" w:rsidRDefault="00E24259" w:rsidP="0057751B">
      <w:pPr>
        <w:pStyle w:val="a7"/>
        <w:jc w:val="both"/>
        <w:rPr>
          <w:sz w:val="16"/>
          <w:szCs w:val="16"/>
        </w:rPr>
      </w:pPr>
      <w:r w:rsidRPr="001F6A54">
        <w:rPr>
          <w:rStyle w:val="a9"/>
          <w:sz w:val="16"/>
          <w:szCs w:val="16"/>
        </w:rPr>
        <w:footnoteRef/>
      </w:r>
      <w:r w:rsidRPr="001F6A54">
        <w:rPr>
          <w:sz w:val="16"/>
          <w:szCs w:val="16"/>
        </w:rPr>
        <w:t xml:space="preserve"> Григорий Колесов. Изменения процедур раскрытия информации эмитентами ценных бумаг и сделки М&amp;А // Слияния и поглощения. № 4 (122). 2013.</w:t>
      </w:r>
    </w:p>
  </w:footnote>
  <w:footnote w:id="70">
    <w:p w:rsidR="00E24259" w:rsidRPr="00244F11" w:rsidRDefault="00E24259" w:rsidP="003D3ABB">
      <w:pPr>
        <w:pStyle w:val="a7"/>
        <w:jc w:val="both"/>
        <w:rPr>
          <w:sz w:val="16"/>
        </w:rPr>
      </w:pPr>
      <w:r w:rsidRPr="00244F11">
        <w:rPr>
          <w:rStyle w:val="a9"/>
          <w:sz w:val="16"/>
        </w:rPr>
        <w:footnoteRef/>
      </w:r>
      <w:r w:rsidRPr="00244F11">
        <w:rPr>
          <w:sz w:val="16"/>
        </w:rPr>
        <w:t xml:space="preserve"> Постановление ФАС Дальневосточного округа от 08.07.2011 </w:t>
      </w:r>
      <w:r w:rsidRPr="00244F11">
        <w:rPr>
          <w:sz w:val="16"/>
          <w:lang w:val="en-US"/>
        </w:rPr>
        <w:t>N</w:t>
      </w:r>
      <w:r w:rsidRPr="00244F11">
        <w:rPr>
          <w:sz w:val="16"/>
        </w:rPr>
        <w:t xml:space="preserve"> Ф03-2144/2011 по делу </w:t>
      </w:r>
      <w:r w:rsidRPr="00244F11">
        <w:rPr>
          <w:sz w:val="16"/>
          <w:lang w:val="en-US"/>
        </w:rPr>
        <w:t>N</w:t>
      </w:r>
      <w:r w:rsidRPr="00244F11">
        <w:rPr>
          <w:sz w:val="16"/>
        </w:rPr>
        <w:t xml:space="preserve"> А51-19466/2010</w:t>
      </w:r>
      <w:r>
        <w:rPr>
          <w:sz w:val="16"/>
        </w:rPr>
        <w:t>. // СПС «Консультант Плюс».</w:t>
      </w:r>
    </w:p>
  </w:footnote>
  <w:footnote w:id="71">
    <w:p w:rsidR="00E24259" w:rsidRPr="002C6414" w:rsidRDefault="00E24259" w:rsidP="003D3ABB">
      <w:pPr>
        <w:pStyle w:val="a7"/>
        <w:jc w:val="both"/>
      </w:pPr>
      <w:r w:rsidRPr="00244F11">
        <w:rPr>
          <w:rStyle w:val="a9"/>
          <w:sz w:val="16"/>
        </w:rPr>
        <w:footnoteRef/>
      </w:r>
      <w:r w:rsidRPr="00244F11">
        <w:rPr>
          <w:sz w:val="16"/>
        </w:rPr>
        <w:t xml:space="preserve"> Постановление ФАС Восточно-Сибирского округа от 28.02.2012 по делу </w:t>
      </w:r>
      <w:r w:rsidRPr="00244F11">
        <w:rPr>
          <w:sz w:val="16"/>
          <w:lang w:val="en-US"/>
        </w:rPr>
        <w:t>N</w:t>
      </w:r>
      <w:r w:rsidRPr="00244F11">
        <w:rPr>
          <w:sz w:val="16"/>
        </w:rPr>
        <w:t xml:space="preserve"> А33-9342/2011</w:t>
      </w:r>
      <w:r>
        <w:rPr>
          <w:sz w:val="16"/>
        </w:rPr>
        <w:t xml:space="preserve">. // СПС «Консультант Плюс». </w:t>
      </w:r>
    </w:p>
  </w:footnote>
  <w:footnote w:id="72">
    <w:p w:rsidR="00E24259" w:rsidRPr="00F0360E" w:rsidRDefault="00E24259" w:rsidP="003D3ABB">
      <w:pPr>
        <w:pStyle w:val="a7"/>
        <w:jc w:val="both"/>
      </w:pPr>
      <w:r w:rsidRPr="00244F11">
        <w:rPr>
          <w:rStyle w:val="a9"/>
          <w:sz w:val="16"/>
        </w:rPr>
        <w:footnoteRef/>
      </w:r>
      <w:r w:rsidRPr="00244F11">
        <w:rPr>
          <w:sz w:val="16"/>
        </w:rPr>
        <w:t xml:space="preserve"> Постановление ФАС Уральского округа от 19.01.2012 </w:t>
      </w:r>
      <w:r w:rsidRPr="00244F11">
        <w:rPr>
          <w:sz w:val="16"/>
          <w:lang w:val="en-US"/>
        </w:rPr>
        <w:t>N</w:t>
      </w:r>
      <w:r w:rsidRPr="00244F11">
        <w:rPr>
          <w:sz w:val="16"/>
        </w:rPr>
        <w:t xml:space="preserve"> Ф09-9170/11 по делу </w:t>
      </w:r>
      <w:r w:rsidRPr="00244F11">
        <w:rPr>
          <w:sz w:val="16"/>
          <w:lang w:val="en-US"/>
        </w:rPr>
        <w:t>N</w:t>
      </w:r>
      <w:r w:rsidRPr="00244F11">
        <w:rPr>
          <w:sz w:val="16"/>
        </w:rPr>
        <w:t xml:space="preserve"> А76-4176/2011</w:t>
      </w:r>
      <w:r>
        <w:rPr>
          <w:sz w:val="16"/>
        </w:rPr>
        <w:t>. // СПС «Консультант Плюс».</w:t>
      </w:r>
    </w:p>
  </w:footnote>
  <w:footnote w:id="73">
    <w:p w:rsidR="00E24259" w:rsidRPr="00244F11" w:rsidRDefault="00E24259" w:rsidP="003D3ABB">
      <w:pPr>
        <w:pStyle w:val="a7"/>
        <w:jc w:val="both"/>
        <w:rPr>
          <w:sz w:val="16"/>
        </w:rPr>
      </w:pPr>
      <w:r w:rsidRPr="00244F11">
        <w:rPr>
          <w:rStyle w:val="a9"/>
          <w:sz w:val="16"/>
        </w:rPr>
        <w:footnoteRef/>
      </w:r>
      <w:r w:rsidRPr="00244F11">
        <w:rPr>
          <w:sz w:val="16"/>
        </w:rPr>
        <w:t xml:space="preserve"> Постановление ФАС Поволжского округа от 07.06.2012 по делу </w:t>
      </w:r>
      <w:r w:rsidRPr="00244F11">
        <w:rPr>
          <w:sz w:val="16"/>
          <w:lang w:val="en-US"/>
        </w:rPr>
        <w:t>N</w:t>
      </w:r>
      <w:r w:rsidRPr="00244F11">
        <w:rPr>
          <w:sz w:val="16"/>
        </w:rPr>
        <w:t xml:space="preserve"> А65-27146/2011</w:t>
      </w:r>
      <w:r>
        <w:rPr>
          <w:sz w:val="16"/>
        </w:rPr>
        <w:t>. // СПС «Консультант Плюс».</w:t>
      </w:r>
    </w:p>
  </w:footnote>
  <w:footnote w:id="74">
    <w:p w:rsidR="00E24259" w:rsidRPr="005215B4" w:rsidRDefault="00E24259" w:rsidP="003D3ABB">
      <w:pPr>
        <w:pStyle w:val="a7"/>
        <w:jc w:val="both"/>
      </w:pPr>
      <w:r w:rsidRPr="00244F11">
        <w:rPr>
          <w:rStyle w:val="a9"/>
          <w:sz w:val="16"/>
        </w:rPr>
        <w:footnoteRef/>
      </w:r>
      <w:r w:rsidRPr="00244F11">
        <w:rPr>
          <w:sz w:val="16"/>
        </w:rPr>
        <w:t xml:space="preserve"> Постановление ФАС Поволжского округа от 07.06.2012 по делу </w:t>
      </w:r>
      <w:r w:rsidRPr="00244F11">
        <w:rPr>
          <w:sz w:val="16"/>
          <w:lang w:val="en-US"/>
        </w:rPr>
        <w:t>N</w:t>
      </w:r>
      <w:r w:rsidRPr="00244F11">
        <w:rPr>
          <w:sz w:val="16"/>
        </w:rPr>
        <w:t xml:space="preserve"> А65-27146/2011</w:t>
      </w:r>
      <w:r>
        <w:rPr>
          <w:sz w:val="16"/>
        </w:rPr>
        <w:t>. // СПС «Консультант Плюс».</w:t>
      </w:r>
    </w:p>
  </w:footnote>
  <w:footnote w:id="75">
    <w:p w:rsidR="00E24259" w:rsidRPr="00244F11" w:rsidRDefault="00E24259" w:rsidP="00677BA9">
      <w:pPr>
        <w:spacing w:after="0" w:line="240" w:lineRule="auto"/>
        <w:jc w:val="both"/>
        <w:rPr>
          <w:rFonts w:eastAsia="Times New Roman" w:cs="Times New Roman"/>
          <w:sz w:val="16"/>
          <w:szCs w:val="16"/>
          <w:lang w:eastAsia="ru-RU"/>
        </w:rPr>
      </w:pPr>
      <w:r w:rsidRPr="00244F11">
        <w:rPr>
          <w:rStyle w:val="a9"/>
          <w:sz w:val="16"/>
          <w:szCs w:val="16"/>
        </w:rPr>
        <w:footnoteRef/>
      </w:r>
      <w:r w:rsidRPr="00244F11">
        <w:rPr>
          <w:sz w:val="16"/>
          <w:szCs w:val="16"/>
        </w:rPr>
        <w:t xml:space="preserve"> </w:t>
      </w:r>
      <w:r w:rsidRPr="00244F11">
        <w:rPr>
          <w:rFonts w:eastAsia="Times New Roman" w:cs="Times New Roman"/>
          <w:sz w:val="16"/>
          <w:szCs w:val="16"/>
          <w:lang w:eastAsia="ru-RU"/>
        </w:rPr>
        <w:t>Постановление Одиннадцатого арбитражного апелляционного суда от 03.05.2012 по делу N А65-2372/2012</w:t>
      </w:r>
      <w:r>
        <w:rPr>
          <w:rFonts w:eastAsia="Times New Roman" w:cs="Times New Roman"/>
          <w:sz w:val="16"/>
          <w:szCs w:val="16"/>
          <w:lang w:eastAsia="ru-RU"/>
        </w:rPr>
        <w:t>. // СПС «Консультант Плюс».</w:t>
      </w:r>
    </w:p>
  </w:footnote>
  <w:footnote w:id="76">
    <w:p w:rsidR="00E24259" w:rsidRPr="00244F11" w:rsidRDefault="00E24259" w:rsidP="00677BA9">
      <w:pPr>
        <w:spacing w:after="0" w:line="240" w:lineRule="auto"/>
        <w:jc w:val="both"/>
        <w:rPr>
          <w:rFonts w:eastAsia="Times New Roman" w:cs="Times New Roman"/>
          <w:sz w:val="16"/>
          <w:szCs w:val="16"/>
          <w:lang w:eastAsia="ru-RU"/>
        </w:rPr>
      </w:pPr>
      <w:r w:rsidRPr="00244F11">
        <w:rPr>
          <w:rStyle w:val="a9"/>
          <w:sz w:val="16"/>
          <w:szCs w:val="16"/>
        </w:rPr>
        <w:footnoteRef/>
      </w:r>
      <w:r w:rsidRPr="00244F11">
        <w:rPr>
          <w:sz w:val="16"/>
          <w:szCs w:val="16"/>
        </w:rPr>
        <w:t xml:space="preserve"> </w:t>
      </w:r>
      <w:r w:rsidRPr="00244F11">
        <w:rPr>
          <w:rFonts w:eastAsia="Times New Roman" w:cs="Times New Roman"/>
          <w:sz w:val="16"/>
          <w:szCs w:val="16"/>
          <w:lang w:eastAsia="ru-RU"/>
        </w:rPr>
        <w:t>Постановление ФАС Северо-Западного округа от 28.12.2012 по делу N А05-3346/2012</w:t>
      </w:r>
      <w:r>
        <w:rPr>
          <w:rFonts w:eastAsia="Times New Roman" w:cs="Times New Roman"/>
          <w:sz w:val="16"/>
          <w:szCs w:val="16"/>
          <w:lang w:eastAsia="ru-RU"/>
        </w:rPr>
        <w:t>. // СПС «Консультант Плюс».</w:t>
      </w:r>
    </w:p>
  </w:footnote>
  <w:footnote w:id="77">
    <w:p w:rsidR="00E24259" w:rsidRPr="009648A0" w:rsidRDefault="00E24259" w:rsidP="00677BA9">
      <w:pPr>
        <w:pStyle w:val="a7"/>
        <w:jc w:val="both"/>
      </w:pPr>
      <w:r w:rsidRPr="00244F11">
        <w:rPr>
          <w:rStyle w:val="a9"/>
          <w:sz w:val="16"/>
        </w:rPr>
        <w:footnoteRef/>
      </w:r>
      <w:r w:rsidRPr="00244F11">
        <w:rPr>
          <w:sz w:val="16"/>
        </w:rPr>
        <w:t xml:space="preserve"> </w:t>
      </w:r>
      <w:proofErr w:type="spellStart"/>
      <w:r w:rsidRPr="00244F11">
        <w:rPr>
          <w:sz w:val="16"/>
        </w:rPr>
        <w:t>Вавулин</w:t>
      </w:r>
      <w:proofErr w:type="spellEnd"/>
      <w:r w:rsidRPr="00244F11">
        <w:rPr>
          <w:sz w:val="16"/>
        </w:rPr>
        <w:t xml:space="preserve"> Д.А., Федотов В.Н. Нарушение порядка раскрытия информации акционерными обществами. // СПС «Консультант Плюс».</w:t>
      </w:r>
    </w:p>
  </w:footnote>
  <w:footnote w:id="78">
    <w:p w:rsidR="00E24259" w:rsidRPr="004A262D" w:rsidRDefault="00E24259" w:rsidP="008B72F6">
      <w:pPr>
        <w:pStyle w:val="a7"/>
        <w:jc w:val="both"/>
        <w:rPr>
          <w:sz w:val="16"/>
          <w:szCs w:val="16"/>
        </w:rPr>
      </w:pPr>
      <w:r w:rsidRPr="004A262D">
        <w:rPr>
          <w:rStyle w:val="a9"/>
          <w:sz w:val="16"/>
          <w:szCs w:val="16"/>
        </w:rPr>
        <w:footnoteRef/>
      </w:r>
      <w:r w:rsidRPr="004A262D">
        <w:rPr>
          <w:sz w:val="16"/>
          <w:szCs w:val="16"/>
        </w:rPr>
        <w:t xml:space="preserve"> Постановление Девятого арбитражного апелляционного суда № 09АП-2095/2013 от 26.02.2013 по делу № А40-128686/12-33-187. // СПС «Консультант Плюс».</w:t>
      </w:r>
    </w:p>
  </w:footnote>
  <w:footnote w:id="79">
    <w:p w:rsidR="00E24259" w:rsidRPr="00D962FB" w:rsidRDefault="00E24259" w:rsidP="00D962FB">
      <w:pPr>
        <w:pStyle w:val="a7"/>
        <w:jc w:val="both"/>
        <w:rPr>
          <w:sz w:val="16"/>
          <w:szCs w:val="16"/>
        </w:rPr>
      </w:pPr>
      <w:r w:rsidRPr="00D962FB">
        <w:rPr>
          <w:rStyle w:val="a9"/>
          <w:sz w:val="16"/>
          <w:szCs w:val="16"/>
        </w:rPr>
        <w:footnoteRef/>
      </w:r>
      <w:r w:rsidRPr="00D962FB">
        <w:rPr>
          <w:sz w:val="16"/>
          <w:szCs w:val="16"/>
        </w:rPr>
        <w:t xml:space="preserve"> </w:t>
      </w:r>
      <w:proofErr w:type="spellStart"/>
      <w:r w:rsidRPr="00D962FB">
        <w:rPr>
          <w:sz w:val="16"/>
          <w:szCs w:val="16"/>
        </w:rPr>
        <w:t>Павлюк</w:t>
      </w:r>
      <w:proofErr w:type="spellEnd"/>
      <w:r w:rsidRPr="00D962FB">
        <w:rPr>
          <w:sz w:val="16"/>
          <w:szCs w:val="16"/>
        </w:rPr>
        <w:t xml:space="preserve"> А.В. О судебной практике по делам о нарушениях раскрытия информации акционерными обществами. // СПС «Консультант Плюс»</w:t>
      </w:r>
      <w:r>
        <w:rPr>
          <w:sz w:val="16"/>
          <w:szCs w:val="16"/>
        </w:rPr>
        <w:t>.</w:t>
      </w:r>
    </w:p>
  </w:footnote>
  <w:footnote w:id="80">
    <w:p w:rsidR="00E24259" w:rsidRPr="00D962FB" w:rsidRDefault="00E24259" w:rsidP="00D962FB">
      <w:pPr>
        <w:pStyle w:val="a7"/>
        <w:jc w:val="both"/>
        <w:rPr>
          <w:sz w:val="16"/>
          <w:szCs w:val="16"/>
        </w:rPr>
      </w:pPr>
      <w:r w:rsidRPr="00D962FB">
        <w:rPr>
          <w:rStyle w:val="a9"/>
          <w:sz w:val="16"/>
          <w:szCs w:val="16"/>
        </w:rPr>
        <w:footnoteRef/>
      </w:r>
      <w:r w:rsidRPr="00D962FB">
        <w:rPr>
          <w:sz w:val="16"/>
          <w:szCs w:val="16"/>
        </w:rPr>
        <w:t xml:space="preserve"> Путеводитель по корпоративным спорам. Вопросы судебной практики: Административная ответственность акционерных обществ за неисполнение ими требований по раскрытию информации</w:t>
      </w:r>
      <w:r>
        <w:rPr>
          <w:sz w:val="16"/>
          <w:szCs w:val="16"/>
        </w:rPr>
        <w:t>.</w:t>
      </w:r>
      <w:r w:rsidRPr="00D962FB">
        <w:rPr>
          <w:sz w:val="16"/>
          <w:szCs w:val="16"/>
        </w:rPr>
        <w:t xml:space="preserve"> </w:t>
      </w:r>
      <w:r>
        <w:rPr>
          <w:sz w:val="16"/>
          <w:szCs w:val="16"/>
        </w:rPr>
        <w:t xml:space="preserve"> </w:t>
      </w:r>
      <w:r w:rsidRPr="00D962FB">
        <w:rPr>
          <w:sz w:val="16"/>
          <w:szCs w:val="16"/>
        </w:rPr>
        <w:t>// СПС «Консультант Плюс»</w:t>
      </w:r>
    </w:p>
  </w:footnote>
  <w:footnote w:id="81">
    <w:p w:rsidR="00E24259" w:rsidRPr="00D962FB" w:rsidRDefault="00E24259" w:rsidP="00D962FB">
      <w:pPr>
        <w:pStyle w:val="a7"/>
        <w:jc w:val="both"/>
        <w:rPr>
          <w:sz w:val="16"/>
          <w:szCs w:val="16"/>
        </w:rPr>
      </w:pPr>
      <w:r w:rsidRPr="00D962FB">
        <w:rPr>
          <w:rStyle w:val="a9"/>
          <w:sz w:val="16"/>
          <w:szCs w:val="16"/>
        </w:rPr>
        <w:footnoteRef/>
      </w:r>
      <w:r w:rsidRPr="00D962FB">
        <w:rPr>
          <w:sz w:val="16"/>
          <w:szCs w:val="16"/>
        </w:rPr>
        <w:t xml:space="preserve"> Постановление ФАС Волго-Вятского округа от 18.02.2013 г. по делу № А79-6246/2012 // СПС «Консультант Плюс»</w:t>
      </w:r>
      <w:r>
        <w:rPr>
          <w:sz w:val="16"/>
          <w:szCs w:val="16"/>
        </w:rPr>
        <w:t>.</w:t>
      </w:r>
    </w:p>
  </w:footnote>
  <w:footnote w:id="82">
    <w:p w:rsidR="00E24259" w:rsidRPr="00DB28FD" w:rsidRDefault="00E24259" w:rsidP="00D962FB">
      <w:pPr>
        <w:pStyle w:val="a7"/>
        <w:jc w:val="both"/>
        <w:rPr>
          <w:sz w:val="16"/>
          <w:szCs w:val="16"/>
        </w:rPr>
      </w:pPr>
      <w:r w:rsidRPr="00DB28FD">
        <w:rPr>
          <w:rStyle w:val="a9"/>
          <w:sz w:val="16"/>
          <w:szCs w:val="16"/>
        </w:rPr>
        <w:footnoteRef/>
      </w:r>
      <w:r w:rsidRPr="00DB28FD">
        <w:rPr>
          <w:sz w:val="16"/>
          <w:szCs w:val="16"/>
        </w:rPr>
        <w:t xml:space="preserve"> </w:t>
      </w:r>
      <w:proofErr w:type="spellStart"/>
      <w:r w:rsidRPr="00DB28FD">
        <w:rPr>
          <w:sz w:val="16"/>
          <w:szCs w:val="16"/>
        </w:rPr>
        <w:t>Вавулин</w:t>
      </w:r>
      <w:proofErr w:type="spellEnd"/>
      <w:r w:rsidRPr="00DB28FD">
        <w:rPr>
          <w:sz w:val="16"/>
          <w:szCs w:val="16"/>
        </w:rPr>
        <w:t xml:space="preserve"> Д.А., Федотов В.Н. Нарушение порядка раскрытия информации акционерными обществами. // СПС «Консультант Плюс». </w:t>
      </w:r>
    </w:p>
  </w:footnote>
  <w:footnote w:id="83">
    <w:p w:rsidR="00E24259" w:rsidRPr="00DB28FD" w:rsidRDefault="00E24259" w:rsidP="00D962FB">
      <w:pPr>
        <w:pStyle w:val="a7"/>
        <w:jc w:val="both"/>
        <w:rPr>
          <w:sz w:val="16"/>
          <w:szCs w:val="16"/>
        </w:rPr>
      </w:pPr>
      <w:r w:rsidRPr="00DB28FD">
        <w:rPr>
          <w:rStyle w:val="a9"/>
          <w:sz w:val="16"/>
          <w:szCs w:val="16"/>
        </w:rPr>
        <w:footnoteRef/>
      </w:r>
      <w:r w:rsidRPr="00DB28FD">
        <w:rPr>
          <w:sz w:val="16"/>
          <w:szCs w:val="16"/>
        </w:rPr>
        <w:t xml:space="preserve"> Официальный сайт Комиссии по ценным бумагам и биржам США [Электронный ресурс]: </w:t>
      </w:r>
      <w:proofErr w:type="gramStart"/>
      <w:r w:rsidRPr="00DB28FD">
        <w:rPr>
          <w:sz w:val="16"/>
          <w:szCs w:val="16"/>
          <w:lang w:val="en-US"/>
        </w:rPr>
        <w:t>Litigation</w:t>
      </w:r>
      <w:r w:rsidRPr="00DB28FD">
        <w:rPr>
          <w:sz w:val="16"/>
          <w:szCs w:val="16"/>
        </w:rPr>
        <w:t>.</w:t>
      </w:r>
      <w:proofErr w:type="gramEnd"/>
      <w:r w:rsidRPr="00DB28FD">
        <w:rPr>
          <w:sz w:val="16"/>
          <w:szCs w:val="16"/>
        </w:rPr>
        <w:t xml:space="preserve"> – Режим доступа: </w:t>
      </w:r>
      <w:hyperlink r:id="rId38" w:history="1">
        <w:r w:rsidRPr="00DB28FD">
          <w:rPr>
            <w:rStyle w:val="aa"/>
            <w:sz w:val="16"/>
            <w:szCs w:val="16"/>
          </w:rPr>
          <w:t>http://www.sec.gov/litigation/admin/2013/34-68703.pdf</w:t>
        </w:r>
      </w:hyperlink>
      <w:r w:rsidRPr="00DB28FD">
        <w:rPr>
          <w:sz w:val="16"/>
          <w:szCs w:val="16"/>
        </w:rPr>
        <w:t xml:space="preserve">, </w:t>
      </w:r>
      <w:hyperlink r:id="rId39" w:history="1">
        <w:r w:rsidRPr="00DB28FD">
          <w:rPr>
            <w:rStyle w:val="aa"/>
            <w:sz w:val="16"/>
            <w:szCs w:val="16"/>
          </w:rPr>
          <w:t>http://www.sec.gov/litigation/admin/33-8569.pdf</w:t>
        </w:r>
      </w:hyperlink>
      <w:r w:rsidRPr="00DB28FD">
        <w:rPr>
          <w:sz w:val="16"/>
          <w:szCs w:val="16"/>
        </w:rPr>
        <w:t xml:space="preserve">, </w:t>
      </w:r>
      <w:hyperlink r:id="rId40" w:history="1">
        <w:r w:rsidRPr="00DB28FD">
          <w:rPr>
            <w:rStyle w:val="aa"/>
            <w:sz w:val="16"/>
            <w:szCs w:val="16"/>
          </w:rPr>
          <w:t>http://www.sec.gov/litigation/complaints/2013/comp22644.pdf</w:t>
        </w:r>
      </w:hyperlink>
      <w:r w:rsidRPr="00DB28FD">
        <w:rPr>
          <w:sz w:val="16"/>
          <w:szCs w:val="16"/>
        </w:rPr>
        <w:t xml:space="preserve">, свободный. – </w:t>
      </w:r>
      <w:proofErr w:type="spellStart"/>
      <w:r w:rsidRPr="00DB28FD">
        <w:rPr>
          <w:sz w:val="16"/>
          <w:szCs w:val="16"/>
        </w:rPr>
        <w:t>Загл</w:t>
      </w:r>
      <w:proofErr w:type="spellEnd"/>
      <w:r w:rsidRPr="00DB28FD">
        <w:rPr>
          <w:sz w:val="16"/>
          <w:szCs w:val="16"/>
        </w:rPr>
        <w:t xml:space="preserve">. с экрана.   </w:t>
      </w:r>
    </w:p>
  </w:footnote>
  <w:footnote w:id="84">
    <w:p w:rsidR="00E24259" w:rsidRPr="00DB28FD" w:rsidRDefault="00E24259" w:rsidP="005B4286">
      <w:pPr>
        <w:pStyle w:val="a7"/>
        <w:jc w:val="both"/>
        <w:rPr>
          <w:sz w:val="16"/>
          <w:szCs w:val="16"/>
        </w:rPr>
      </w:pPr>
      <w:r w:rsidRPr="00DB28FD">
        <w:rPr>
          <w:rStyle w:val="a9"/>
          <w:sz w:val="16"/>
          <w:szCs w:val="16"/>
        </w:rPr>
        <w:footnoteRef/>
      </w:r>
      <w:r w:rsidRPr="00DB28FD">
        <w:rPr>
          <w:sz w:val="16"/>
          <w:szCs w:val="16"/>
        </w:rPr>
        <w:t xml:space="preserve"> Официальный сайт Комиссии по ценным бумагам и биржам США [Электронный ресурс]: </w:t>
      </w:r>
      <w:proofErr w:type="gramStart"/>
      <w:r w:rsidRPr="00DB28FD">
        <w:rPr>
          <w:sz w:val="16"/>
          <w:szCs w:val="16"/>
          <w:lang w:val="en-US"/>
        </w:rPr>
        <w:t>Litigation</w:t>
      </w:r>
      <w:r w:rsidRPr="00DB28FD">
        <w:rPr>
          <w:sz w:val="16"/>
          <w:szCs w:val="16"/>
        </w:rPr>
        <w:t>.</w:t>
      </w:r>
      <w:proofErr w:type="gramEnd"/>
      <w:r w:rsidRPr="00DB28FD">
        <w:rPr>
          <w:sz w:val="16"/>
          <w:szCs w:val="16"/>
        </w:rPr>
        <w:t xml:space="preserve"> – Режим доступа: </w:t>
      </w:r>
      <w:hyperlink r:id="rId41" w:history="1">
        <w:r w:rsidRPr="00DB28FD">
          <w:rPr>
            <w:rStyle w:val="aa"/>
            <w:sz w:val="16"/>
            <w:szCs w:val="16"/>
            <w:lang w:val="en-US"/>
          </w:rPr>
          <w:t>http</w:t>
        </w:r>
        <w:r w:rsidRPr="00DB28FD">
          <w:rPr>
            <w:rStyle w:val="aa"/>
            <w:sz w:val="16"/>
            <w:szCs w:val="16"/>
          </w:rPr>
          <w:t>://</w:t>
        </w:r>
        <w:r w:rsidRPr="00DB28FD">
          <w:rPr>
            <w:rStyle w:val="aa"/>
            <w:sz w:val="16"/>
            <w:szCs w:val="16"/>
            <w:lang w:val="en-US"/>
          </w:rPr>
          <w:t>www</w:t>
        </w:r>
        <w:r w:rsidRPr="00DB28FD">
          <w:rPr>
            <w:rStyle w:val="aa"/>
            <w:sz w:val="16"/>
            <w:szCs w:val="16"/>
          </w:rPr>
          <w:t>.</w:t>
        </w:r>
        <w:r w:rsidRPr="00DB28FD">
          <w:rPr>
            <w:rStyle w:val="aa"/>
            <w:sz w:val="16"/>
            <w:szCs w:val="16"/>
            <w:lang w:val="en-US"/>
          </w:rPr>
          <w:t>sec</w:t>
        </w:r>
        <w:r w:rsidRPr="00DB28FD">
          <w:rPr>
            <w:rStyle w:val="aa"/>
            <w:sz w:val="16"/>
            <w:szCs w:val="16"/>
          </w:rPr>
          <w:t>.</w:t>
        </w:r>
        <w:proofErr w:type="spellStart"/>
        <w:r w:rsidRPr="00DB28FD">
          <w:rPr>
            <w:rStyle w:val="aa"/>
            <w:sz w:val="16"/>
            <w:szCs w:val="16"/>
            <w:lang w:val="en-US"/>
          </w:rPr>
          <w:t>gov</w:t>
        </w:r>
        <w:proofErr w:type="spellEnd"/>
        <w:r w:rsidRPr="00DB28FD">
          <w:rPr>
            <w:rStyle w:val="aa"/>
            <w:sz w:val="16"/>
            <w:szCs w:val="16"/>
          </w:rPr>
          <w:t>/</w:t>
        </w:r>
        <w:r w:rsidRPr="00DB28FD">
          <w:rPr>
            <w:rStyle w:val="aa"/>
            <w:sz w:val="16"/>
            <w:szCs w:val="16"/>
            <w:lang w:val="en-US"/>
          </w:rPr>
          <w:t>litigation</w:t>
        </w:r>
        <w:r w:rsidRPr="00DB28FD">
          <w:rPr>
            <w:rStyle w:val="aa"/>
            <w:sz w:val="16"/>
            <w:szCs w:val="16"/>
          </w:rPr>
          <w:t>/</w:t>
        </w:r>
        <w:r w:rsidRPr="00DB28FD">
          <w:rPr>
            <w:rStyle w:val="aa"/>
            <w:sz w:val="16"/>
            <w:szCs w:val="16"/>
            <w:lang w:val="en-US"/>
          </w:rPr>
          <w:t>complaints</w:t>
        </w:r>
        <w:r w:rsidRPr="00DB28FD">
          <w:rPr>
            <w:rStyle w:val="aa"/>
            <w:sz w:val="16"/>
            <w:szCs w:val="16"/>
          </w:rPr>
          <w:t>/2009/</w:t>
        </w:r>
        <w:r w:rsidRPr="00DB28FD">
          <w:rPr>
            <w:rStyle w:val="aa"/>
            <w:sz w:val="16"/>
            <w:szCs w:val="16"/>
            <w:lang w:val="en-US"/>
          </w:rPr>
          <w:t>comp</w:t>
        </w:r>
        <w:r w:rsidRPr="00DB28FD">
          <w:rPr>
            <w:rStyle w:val="aa"/>
            <w:sz w:val="16"/>
            <w:szCs w:val="16"/>
          </w:rPr>
          <w:t>21164-</w:t>
        </w:r>
        <w:r w:rsidRPr="00DB28FD">
          <w:rPr>
            <w:rStyle w:val="aa"/>
            <w:sz w:val="16"/>
            <w:szCs w:val="16"/>
            <w:lang w:val="en-US"/>
          </w:rPr>
          <w:t>amended</w:t>
        </w:r>
        <w:r w:rsidRPr="00DB28FD">
          <w:rPr>
            <w:rStyle w:val="aa"/>
            <w:sz w:val="16"/>
            <w:szCs w:val="16"/>
          </w:rPr>
          <w:t>.</w:t>
        </w:r>
        <w:proofErr w:type="spellStart"/>
        <w:r w:rsidRPr="00DB28FD">
          <w:rPr>
            <w:rStyle w:val="aa"/>
            <w:sz w:val="16"/>
            <w:szCs w:val="16"/>
            <w:lang w:val="en-US"/>
          </w:rPr>
          <w:t>pdf</w:t>
        </w:r>
        <w:proofErr w:type="spellEnd"/>
      </w:hyperlink>
      <w:r w:rsidRPr="00DB28FD">
        <w:rPr>
          <w:sz w:val="16"/>
          <w:szCs w:val="16"/>
        </w:rPr>
        <w:t xml:space="preserve">, свободный. – </w:t>
      </w:r>
      <w:proofErr w:type="spellStart"/>
      <w:r w:rsidRPr="00DB28FD">
        <w:rPr>
          <w:sz w:val="16"/>
          <w:szCs w:val="16"/>
        </w:rPr>
        <w:t>Загл</w:t>
      </w:r>
      <w:proofErr w:type="spellEnd"/>
      <w:r w:rsidRPr="00DB28FD">
        <w:rPr>
          <w:sz w:val="16"/>
          <w:szCs w:val="16"/>
        </w:rPr>
        <w:t xml:space="preserve">. с экрана. </w:t>
      </w:r>
    </w:p>
  </w:footnote>
  <w:footnote w:id="85">
    <w:p w:rsidR="00E24259" w:rsidRPr="00DB28FD" w:rsidRDefault="00E24259" w:rsidP="00A437D1">
      <w:pPr>
        <w:pStyle w:val="a7"/>
        <w:jc w:val="both"/>
        <w:rPr>
          <w:sz w:val="16"/>
          <w:szCs w:val="16"/>
        </w:rPr>
      </w:pPr>
      <w:r w:rsidRPr="00DB28FD">
        <w:rPr>
          <w:rStyle w:val="a9"/>
          <w:sz w:val="16"/>
          <w:szCs w:val="16"/>
        </w:rPr>
        <w:footnoteRef/>
      </w:r>
      <w:r w:rsidRPr="00DB28FD">
        <w:rPr>
          <w:sz w:val="16"/>
          <w:szCs w:val="16"/>
        </w:rPr>
        <w:t xml:space="preserve"> Официальный сайт Комиссии по ценным бумагам и биржам США [Электронный ресурс]: </w:t>
      </w:r>
      <w:proofErr w:type="gramStart"/>
      <w:r w:rsidRPr="00DB28FD">
        <w:rPr>
          <w:sz w:val="16"/>
          <w:szCs w:val="16"/>
          <w:lang w:val="en-US"/>
        </w:rPr>
        <w:t>Litigation</w:t>
      </w:r>
      <w:r w:rsidRPr="00DB28FD">
        <w:rPr>
          <w:sz w:val="16"/>
          <w:szCs w:val="16"/>
        </w:rPr>
        <w:t>.</w:t>
      </w:r>
      <w:proofErr w:type="gramEnd"/>
      <w:r w:rsidRPr="00DB28FD">
        <w:rPr>
          <w:sz w:val="16"/>
          <w:szCs w:val="16"/>
        </w:rPr>
        <w:t xml:space="preserve"> – Режим доступа: </w:t>
      </w:r>
      <w:hyperlink r:id="rId42" w:history="1">
        <w:r w:rsidRPr="00DB28FD">
          <w:rPr>
            <w:rStyle w:val="aa"/>
            <w:sz w:val="16"/>
            <w:szCs w:val="16"/>
            <w:lang w:val="en-US"/>
          </w:rPr>
          <w:t>http</w:t>
        </w:r>
        <w:r w:rsidRPr="00DB28FD">
          <w:rPr>
            <w:rStyle w:val="aa"/>
            <w:sz w:val="16"/>
            <w:szCs w:val="16"/>
          </w:rPr>
          <w:t>://</w:t>
        </w:r>
        <w:r w:rsidRPr="00DB28FD">
          <w:rPr>
            <w:rStyle w:val="aa"/>
            <w:sz w:val="16"/>
            <w:szCs w:val="16"/>
            <w:lang w:val="en-US"/>
          </w:rPr>
          <w:t>www</w:t>
        </w:r>
        <w:r w:rsidRPr="00DB28FD">
          <w:rPr>
            <w:rStyle w:val="aa"/>
            <w:sz w:val="16"/>
            <w:szCs w:val="16"/>
          </w:rPr>
          <w:t>.</w:t>
        </w:r>
        <w:r w:rsidRPr="00DB28FD">
          <w:rPr>
            <w:rStyle w:val="aa"/>
            <w:sz w:val="16"/>
            <w:szCs w:val="16"/>
            <w:lang w:val="en-US"/>
          </w:rPr>
          <w:t>sec</w:t>
        </w:r>
        <w:r w:rsidRPr="00DB28FD">
          <w:rPr>
            <w:rStyle w:val="aa"/>
            <w:sz w:val="16"/>
            <w:szCs w:val="16"/>
          </w:rPr>
          <w:t>.</w:t>
        </w:r>
        <w:proofErr w:type="spellStart"/>
        <w:r w:rsidRPr="00DB28FD">
          <w:rPr>
            <w:rStyle w:val="aa"/>
            <w:sz w:val="16"/>
            <w:szCs w:val="16"/>
            <w:lang w:val="en-US"/>
          </w:rPr>
          <w:t>gov</w:t>
        </w:r>
        <w:proofErr w:type="spellEnd"/>
        <w:r w:rsidRPr="00DB28FD">
          <w:rPr>
            <w:rStyle w:val="aa"/>
            <w:sz w:val="16"/>
            <w:szCs w:val="16"/>
          </w:rPr>
          <w:t>/</w:t>
        </w:r>
        <w:r w:rsidRPr="00DB28FD">
          <w:rPr>
            <w:rStyle w:val="aa"/>
            <w:sz w:val="16"/>
            <w:szCs w:val="16"/>
            <w:lang w:val="en-US"/>
          </w:rPr>
          <w:t>litigation</w:t>
        </w:r>
        <w:r w:rsidRPr="00DB28FD">
          <w:rPr>
            <w:rStyle w:val="aa"/>
            <w:sz w:val="16"/>
            <w:szCs w:val="16"/>
          </w:rPr>
          <w:t>/</w:t>
        </w:r>
        <w:r w:rsidRPr="00DB28FD">
          <w:rPr>
            <w:rStyle w:val="aa"/>
            <w:sz w:val="16"/>
            <w:szCs w:val="16"/>
            <w:lang w:val="en-US"/>
          </w:rPr>
          <w:t>complaints</w:t>
        </w:r>
        <w:r w:rsidRPr="00DB28FD">
          <w:rPr>
            <w:rStyle w:val="aa"/>
            <w:sz w:val="16"/>
            <w:szCs w:val="16"/>
          </w:rPr>
          <w:t>/2012/</w:t>
        </w:r>
        <w:r w:rsidRPr="00DB28FD">
          <w:rPr>
            <w:rStyle w:val="aa"/>
            <w:sz w:val="16"/>
            <w:szCs w:val="16"/>
            <w:lang w:val="en-US"/>
          </w:rPr>
          <w:t>comp</w:t>
        </w:r>
        <w:r w:rsidRPr="00DB28FD">
          <w:rPr>
            <w:rStyle w:val="aa"/>
            <w:sz w:val="16"/>
            <w:szCs w:val="16"/>
          </w:rPr>
          <w:t>-</w:t>
        </w:r>
        <w:r w:rsidRPr="00DB28FD">
          <w:rPr>
            <w:rStyle w:val="aa"/>
            <w:sz w:val="16"/>
            <w:szCs w:val="16"/>
            <w:lang w:val="en-US"/>
          </w:rPr>
          <w:t>pr</w:t>
        </w:r>
        <w:r w:rsidRPr="00DB28FD">
          <w:rPr>
            <w:rStyle w:val="aa"/>
            <w:sz w:val="16"/>
            <w:szCs w:val="16"/>
          </w:rPr>
          <w:t>2012-231.</w:t>
        </w:r>
        <w:proofErr w:type="spellStart"/>
        <w:r w:rsidRPr="00DB28FD">
          <w:rPr>
            <w:rStyle w:val="aa"/>
            <w:sz w:val="16"/>
            <w:szCs w:val="16"/>
            <w:lang w:val="en-US"/>
          </w:rPr>
          <w:t>pdf</w:t>
        </w:r>
        <w:proofErr w:type="spellEnd"/>
      </w:hyperlink>
      <w:r w:rsidRPr="00DB28FD">
        <w:rPr>
          <w:sz w:val="16"/>
          <w:szCs w:val="16"/>
        </w:rPr>
        <w:t xml:space="preserve">, свободный. – </w:t>
      </w:r>
      <w:proofErr w:type="spellStart"/>
      <w:r w:rsidRPr="00DB28FD">
        <w:rPr>
          <w:sz w:val="16"/>
          <w:szCs w:val="16"/>
        </w:rPr>
        <w:t>Загл</w:t>
      </w:r>
      <w:proofErr w:type="spellEnd"/>
      <w:r w:rsidRPr="00DB28FD">
        <w:rPr>
          <w:sz w:val="16"/>
          <w:szCs w:val="16"/>
        </w:rPr>
        <w:t>. с экрана.</w:t>
      </w:r>
    </w:p>
  </w:footnote>
  <w:footnote w:id="86">
    <w:p w:rsidR="00E24259" w:rsidRPr="00DB28FD" w:rsidRDefault="00E24259" w:rsidP="00A437D1">
      <w:pPr>
        <w:pStyle w:val="a7"/>
        <w:jc w:val="both"/>
        <w:rPr>
          <w:sz w:val="16"/>
          <w:szCs w:val="16"/>
          <w:lang w:val="en-US"/>
        </w:rPr>
      </w:pPr>
      <w:r w:rsidRPr="00DB28FD">
        <w:rPr>
          <w:rStyle w:val="a9"/>
          <w:sz w:val="16"/>
          <w:szCs w:val="16"/>
        </w:rPr>
        <w:footnoteRef/>
      </w:r>
      <w:r w:rsidRPr="00DB28FD">
        <w:rPr>
          <w:sz w:val="16"/>
          <w:szCs w:val="16"/>
        </w:rPr>
        <w:t xml:space="preserve"> Официальный сайт Комиссии по ценным бумагам и биржам США [Электронный ресурс]:  </w:t>
      </w:r>
      <w:r w:rsidRPr="00DB28FD">
        <w:rPr>
          <w:sz w:val="16"/>
          <w:szCs w:val="16"/>
          <w:lang w:val="en-US"/>
        </w:rPr>
        <w:t>SEC</w:t>
      </w:r>
      <w:r w:rsidRPr="00DB28FD">
        <w:rPr>
          <w:sz w:val="16"/>
          <w:szCs w:val="16"/>
        </w:rPr>
        <w:t xml:space="preserve"> </w:t>
      </w:r>
      <w:r w:rsidRPr="00DB28FD">
        <w:rPr>
          <w:sz w:val="16"/>
          <w:szCs w:val="16"/>
          <w:lang w:val="en-US"/>
        </w:rPr>
        <w:t>Enforcement</w:t>
      </w:r>
      <w:r w:rsidRPr="00DB28FD">
        <w:rPr>
          <w:sz w:val="16"/>
          <w:szCs w:val="16"/>
        </w:rPr>
        <w:t xml:space="preserve"> </w:t>
      </w:r>
      <w:r w:rsidRPr="00DB28FD">
        <w:rPr>
          <w:sz w:val="16"/>
          <w:szCs w:val="16"/>
          <w:lang w:val="en-US"/>
        </w:rPr>
        <w:t>Actions</w:t>
      </w:r>
      <w:r w:rsidRPr="00DB28FD">
        <w:rPr>
          <w:sz w:val="16"/>
          <w:szCs w:val="16"/>
        </w:rPr>
        <w:t xml:space="preserve">, </w:t>
      </w:r>
      <w:r w:rsidRPr="00DB28FD">
        <w:rPr>
          <w:sz w:val="16"/>
          <w:szCs w:val="16"/>
          <w:lang w:val="en-US"/>
        </w:rPr>
        <w:t>Key</w:t>
      </w:r>
      <w:r w:rsidRPr="00DB28FD">
        <w:rPr>
          <w:sz w:val="16"/>
          <w:szCs w:val="16"/>
        </w:rPr>
        <w:t xml:space="preserve"> </w:t>
      </w:r>
      <w:r w:rsidRPr="00DB28FD">
        <w:rPr>
          <w:sz w:val="16"/>
          <w:szCs w:val="16"/>
          <w:lang w:val="en-US"/>
        </w:rPr>
        <w:t>Statistics</w:t>
      </w:r>
      <w:r w:rsidRPr="00DB28FD">
        <w:rPr>
          <w:sz w:val="16"/>
          <w:szCs w:val="16"/>
        </w:rPr>
        <w:t xml:space="preserve">. – Режим доступа: </w:t>
      </w:r>
      <w:hyperlink r:id="rId43" w:history="1">
        <w:r w:rsidRPr="00DB28FD">
          <w:rPr>
            <w:rStyle w:val="aa"/>
            <w:sz w:val="16"/>
            <w:szCs w:val="16"/>
            <w:lang w:val="en-US"/>
          </w:rPr>
          <w:t>http</w:t>
        </w:r>
        <w:r w:rsidRPr="00DB28FD">
          <w:rPr>
            <w:rStyle w:val="aa"/>
            <w:sz w:val="16"/>
            <w:szCs w:val="16"/>
          </w:rPr>
          <w:t>://</w:t>
        </w:r>
        <w:r w:rsidRPr="00DB28FD">
          <w:rPr>
            <w:rStyle w:val="aa"/>
            <w:sz w:val="16"/>
            <w:szCs w:val="16"/>
            <w:lang w:val="en-US"/>
          </w:rPr>
          <w:t>www</w:t>
        </w:r>
        <w:r w:rsidRPr="00DB28FD">
          <w:rPr>
            <w:rStyle w:val="aa"/>
            <w:sz w:val="16"/>
            <w:szCs w:val="16"/>
          </w:rPr>
          <w:t>.</w:t>
        </w:r>
        <w:r w:rsidRPr="00DB28FD">
          <w:rPr>
            <w:rStyle w:val="aa"/>
            <w:sz w:val="16"/>
            <w:szCs w:val="16"/>
            <w:lang w:val="en-US"/>
          </w:rPr>
          <w:t>sec</w:t>
        </w:r>
        <w:r w:rsidRPr="00DB28FD">
          <w:rPr>
            <w:rStyle w:val="aa"/>
            <w:sz w:val="16"/>
            <w:szCs w:val="16"/>
          </w:rPr>
          <w:t>.</w:t>
        </w:r>
        <w:proofErr w:type="spellStart"/>
        <w:r w:rsidRPr="00DB28FD">
          <w:rPr>
            <w:rStyle w:val="aa"/>
            <w:sz w:val="16"/>
            <w:szCs w:val="16"/>
            <w:lang w:val="en-US"/>
          </w:rPr>
          <w:t>gov</w:t>
        </w:r>
        <w:proofErr w:type="spellEnd"/>
        <w:r w:rsidRPr="00DB28FD">
          <w:rPr>
            <w:rStyle w:val="aa"/>
            <w:sz w:val="16"/>
            <w:szCs w:val="16"/>
          </w:rPr>
          <w:t>/</w:t>
        </w:r>
        <w:r w:rsidRPr="00DB28FD">
          <w:rPr>
            <w:rStyle w:val="aa"/>
            <w:sz w:val="16"/>
            <w:szCs w:val="16"/>
            <w:lang w:val="en-US"/>
          </w:rPr>
          <w:t>spotlight</w:t>
        </w:r>
        <w:r w:rsidRPr="00DB28FD">
          <w:rPr>
            <w:rStyle w:val="aa"/>
            <w:sz w:val="16"/>
            <w:szCs w:val="16"/>
          </w:rPr>
          <w:t>/</w:t>
        </w:r>
        <w:proofErr w:type="spellStart"/>
        <w:r w:rsidRPr="00DB28FD">
          <w:rPr>
            <w:rStyle w:val="aa"/>
            <w:sz w:val="16"/>
            <w:szCs w:val="16"/>
            <w:lang w:val="en-US"/>
          </w:rPr>
          <w:t>enf</w:t>
        </w:r>
        <w:proofErr w:type="spellEnd"/>
        <w:r w:rsidRPr="00DB28FD">
          <w:rPr>
            <w:rStyle w:val="aa"/>
            <w:sz w:val="16"/>
            <w:szCs w:val="16"/>
          </w:rPr>
          <w:t>-</w:t>
        </w:r>
        <w:r w:rsidRPr="00DB28FD">
          <w:rPr>
            <w:rStyle w:val="aa"/>
            <w:sz w:val="16"/>
            <w:szCs w:val="16"/>
            <w:lang w:val="en-US"/>
          </w:rPr>
          <w:t>actions</w:t>
        </w:r>
        <w:r w:rsidRPr="00DB28FD">
          <w:rPr>
            <w:rStyle w:val="aa"/>
            <w:sz w:val="16"/>
            <w:szCs w:val="16"/>
          </w:rPr>
          <w:t>-</w:t>
        </w:r>
        <w:proofErr w:type="spellStart"/>
        <w:r w:rsidRPr="00DB28FD">
          <w:rPr>
            <w:rStyle w:val="aa"/>
            <w:sz w:val="16"/>
            <w:szCs w:val="16"/>
            <w:lang w:val="en-US"/>
          </w:rPr>
          <w:t>fc</w:t>
        </w:r>
        <w:proofErr w:type="spellEnd"/>
        <w:r w:rsidRPr="00DB28FD">
          <w:rPr>
            <w:rStyle w:val="aa"/>
            <w:sz w:val="16"/>
            <w:szCs w:val="16"/>
          </w:rPr>
          <w:t>.</w:t>
        </w:r>
        <w:proofErr w:type="spellStart"/>
        <w:r w:rsidRPr="00DB28FD">
          <w:rPr>
            <w:rStyle w:val="aa"/>
            <w:sz w:val="16"/>
            <w:szCs w:val="16"/>
            <w:lang w:val="en-US"/>
          </w:rPr>
          <w:t>shtml</w:t>
        </w:r>
        <w:proofErr w:type="spellEnd"/>
      </w:hyperlink>
      <w:r w:rsidRPr="00DB28FD">
        <w:rPr>
          <w:rStyle w:val="aa"/>
          <w:sz w:val="16"/>
          <w:szCs w:val="16"/>
        </w:rPr>
        <w:t xml:space="preserve"> </w:t>
      </w:r>
      <w:r w:rsidRPr="00DB28FD">
        <w:rPr>
          <w:sz w:val="16"/>
          <w:szCs w:val="16"/>
        </w:rPr>
        <w:t xml:space="preserve">, свободный. – </w:t>
      </w:r>
      <w:proofErr w:type="spellStart"/>
      <w:r w:rsidRPr="00DB28FD">
        <w:rPr>
          <w:sz w:val="16"/>
          <w:szCs w:val="16"/>
        </w:rPr>
        <w:t>Загл</w:t>
      </w:r>
      <w:proofErr w:type="spellEnd"/>
      <w:r w:rsidRPr="00DB28FD">
        <w:rPr>
          <w:sz w:val="16"/>
          <w:szCs w:val="16"/>
        </w:rPr>
        <w:t>.  экрана</w:t>
      </w:r>
      <w:r w:rsidRPr="00DB28FD">
        <w:rPr>
          <w:sz w:val="16"/>
          <w:szCs w:val="16"/>
          <w:lang w:val="en-US"/>
        </w:rPr>
        <w:t>.</w:t>
      </w:r>
    </w:p>
  </w:footnote>
  <w:footnote w:id="87">
    <w:p w:rsidR="00E24259" w:rsidRPr="00AA46C4" w:rsidRDefault="00E24259" w:rsidP="00E663C6">
      <w:pPr>
        <w:pStyle w:val="a7"/>
        <w:jc w:val="both"/>
        <w:rPr>
          <w:sz w:val="16"/>
          <w:szCs w:val="16"/>
        </w:rPr>
      </w:pPr>
      <w:r w:rsidRPr="00AA46C4">
        <w:rPr>
          <w:rStyle w:val="a9"/>
          <w:sz w:val="16"/>
          <w:szCs w:val="16"/>
        </w:rPr>
        <w:footnoteRef/>
      </w:r>
      <w:r w:rsidRPr="00AA46C4">
        <w:rPr>
          <w:sz w:val="16"/>
          <w:szCs w:val="16"/>
          <w:lang w:val="en-US"/>
        </w:rPr>
        <w:t xml:space="preserve"> </w:t>
      </w:r>
      <w:r w:rsidRPr="00AA46C4">
        <w:rPr>
          <w:sz w:val="16"/>
          <w:szCs w:val="16"/>
        </w:rPr>
        <w:t>Официальный</w:t>
      </w:r>
      <w:r w:rsidRPr="00AA46C4">
        <w:rPr>
          <w:sz w:val="16"/>
          <w:szCs w:val="16"/>
          <w:lang w:val="en-US"/>
        </w:rPr>
        <w:t xml:space="preserve"> </w:t>
      </w:r>
      <w:r w:rsidRPr="00AA46C4">
        <w:rPr>
          <w:sz w:val="16"/>
          <w:szCs w:val="16"/>
        </w:rPr>
        <w:t>сайт</w:t>
      </w:r>
      <w:r w:rsidRPr="00AA46C4">
        <w:rPr>
          <w:sz w:val="16"/>
          <w:szCs w:val="16"/>
          <w:lang w:val="en-US"/>
        </w:rPr>
        <w:t xml:space="preserve"> </w:t>
      </w:r>
      <w:r w:rsidRPr="00AA46C4">
        <w:rPr>
          <w:sz w:val="16"/>
          <w:szCs w:val="16"/>
        </w:rPr>
        <w:t>юридической</w:t>
      </w:r>
      <w:r w:rsidRPr="00AA46C4">
        <w:rPr>
          <w:sz w:val="16"/>
          <w:szCs w:val="16"/>
          <w:lang w:val="en-US"/>
        </w:rPr>
        <w:t xml:space="preserve"> </w:t>
      </w:r>
      <w:r w:rsidRPr="00AA46C4">
        <w:rPr>
          <w:sz w:val="16"/>
          <w:szCs w:val="16"/>
        </w:rPr>
        <w:t>фирмы</w:t>
      </w:r>
      <w:r w:rsidRPr="00AA46C4">
        <w:rPr>
          <w:sz w:val="16"/>
          <w:szCs w:val="16"/>
          <w:lang w:val="en-US"/>
        </w:rPr>
        <w:t xml:space="preserve"> </w:t>
      </w:r>
      <w:proofErr w:type="spellStart"/>
      <w:r w:rsidRPr="00AA46C4">
        <w:rPr>
          <w:sz w:val="16"/>
          <w:szCs w:val="16"/>
          <w:lang w:val="en-US"/>
        </w:rPr>
        <w:t>Haynesboone</w:t>
      </w:r>
      <w:proofErr w:type="spellEnd"/>
      <w:r w:rsidRPr="00AA46C4">
        <w:rPr>
          <w:sz w:val="16"/>
          <w:szCs w:val="16"/>
          <w:lang w:val="en-US"/>
        </w:rPr>
        <w:t xml:space="preserve"> [</w:t>
      </w:r>
      <w:r w:rsidRPr="00AA46C4">
        <w:rPr>
          <w:sz w:val="16"/>
          <w:szCs w:val="16"/>
        </w:rPr>
        <w:t>Электронный</w:t>
      </w:r>
      <w:r w:rsidRPr="00AA46C4">
        <w:rPr>
          <w:sz w:val="16"/>
          <w:szCs w:val="16"/>
          <w:lang w:val="en-US"/>
        </w:rPr>
        <w:t xml:space="preserve"> </w:t>
      </w:r>
      <w:r w:rsidRPr="00AA46C4">
        <w:rPr>
          <w:sz w:val="16"/>
          <w:szCs w:val="16"/>
        </w:rPr>
        <w:t>ресурс</w:t>
      </w:r>
      <w:r w:rsidRPr="00AA46C4">
        <w:rPr>
          <w:sz w:val="16"/>
          <w:szCs w:val="16"/>
          <w:lang w:val="en-US"/>
        </w:rPr>
        <w:t xml:space="preserve">]: </w:t>
      </w:r>
      <w:proofErr w:type="gramStart"/>
      <w:r w:rsidRPr="00AA46C4">
        <w:rPr>
          <w:sz w:val="16"/>
          <w:szCs w:val="16"/>
          <w:lang w:val="en-US"/>
        </w:rPr>
        <w:t>Criminal Enforcement of the U.S. Securities Laws by Ronald W. Breaux, Daniel H. Gold.</w:t>
      </w:r>
      <w:proofErr w:type="gramEnd"/>
      <w:r w:rsidRPr="00AA46C4">
        <w:rPr>
          <w:sz w:val="16"/>
          <w:szCs w:val="16"/>
          <w:lang w:val="en-US"/>
        </w:rPr>
        <w:t xml:space="preserve"> Haynes</w:t>
      </w:r>
      <w:r w:rsidRPr="00AA46C4">
        <w:rPr>
          <w:sz w:val="16"/>
          <w:szCs w:val="16"/>
        </w:rPr>
        <w:t xml:space="preserve"> </w:t>
      </w:r>
      <w:r w:rsidRPr="00AA46C4">
        <w:rPr>
          <w:sz w:val="16"/>
          <w:szCs w:val="16"/>
          <w:lang w:val="en-US"/>
        </w:rPr>
        <w:t>and</w:t>
      </w:r>
      <w:r w:rsidRPr="00AA46C4">
        <w:rPr>
          <w:sz w:val="16"/>
          <w:szCs w:val="16"/>
        </w:rPr>
        <w:t xml:space="preserve"> </w:t>
      </w:r>
      <w:r w:rsidRPr="00AA46C4">
        <w:rPr>
          <w:sz w:val="16"/>
          <w:szCs w:val="16"/>
          <w:lang w:val="en-US"/>
        </w:rPr>
        <w:t>Boone</w:t>
      </w:r>
      <w:r w:rsidRPr="00AA46C4">
        <w:rPr>
          <w:sz w:val="16"/>
          <w:szCs w:val="16"/>
        </w:rPr>
        <w:t xml:space="preserve">, </w:t>
      </w:r>
      <w:r w:rsidRPr="00AA46C4">
        <w:rPr>
          <w:sz w:val="16"/>
          <w:szCs w:val="16"/>
          <w:lang w:val="en-US"/>
        </w:rPr>
        <w:t>LLP</w:t>
      </w:r>
      <w:r w:rsidRPr="00AA46C4">
        <w:rPr>
          <w:sz w:val="16"/>
          <w:szCs w:val="16"/>
        </w:rPr>
        <w:t xml:space="preserve">. – Режим доступа:  </w:t>
      </w:r>
      <w:hyperlink r:id="rId44" w:history="1">
        <w:r w:rsidRPr="00AA46C4">
          <w:rPr>
            <w:rStyle w:val="aa"/>
            <w:sz w:val="16"/>
            <w:szCs w:val="16"/>
            <w:lang w:val="en-US"/>
          </w:rPr>
          <w:t>http</w:t>
        </w:r>
        <w:r w:rsidRPr="00AA46C4">
          <w:rPr>
            <w:rStyle w:val="aa"/>
            <w:sz w:val="16"/>
            <w:szCs w:val="16"/>
          </w:rPr>
          <w:t>://</w:t>
        </w:r>
        <w:r w:rsidRPr="00AA46C4">
          <w:rPr>
            <w:rStyle w:val="aa"/>
            <w:sz w:val="16"/>
            <w:szCs w:val="16"/>
            <w:lang w:val="en-US"/>
          </w:rPr>
          <w:t>www</w:t>
        </w:r>
        <w:r w:rsidRPr="00AA46C4">
          <w:rPr>
            <w:rStyle w:val="aa"/>
            <w:sz w:val="16"/>
            <w:szCs w:val="16"/>
          </w:rPr>
          <w:t>.</w:t>
        </w:r>
        <w:proofErr w:type="spellStart"/>
        <w:r w:rsidRPr="00AA46C4">
          <w:rPr>
            <w:rStyle w:val="aa"/>
            <w:sz w:val="16"/>
            <w:szCs w:val="16"/>
            <w:lang w:val="en-US"/>
          </w:rPr>
          <w:t>haynesboone</w:t>
        </w:r>
        <w:proofErr w:type="spellEnd"/>
        <w:r w:rsidRPr="00AA46C4">
          <w:rPr>
            <w:rStyle w:val="aa"/>
            <w:sz w:val="16"/>
            <w:szCs w:val="16"/>
          </w:rPr>
          <w:t>.</w:t>
        </w:r>
        <w:r w:rsidRPr="00AA46C4">
          <w:rPr>
            <w:rStyle w:val="aa"/>
            <w:sz w:val="16"/>
            <w:szCs w:val="16"/>
            <w:lang w:val="en-US"/>
          </w:rPr>
          <w:t>com</w:t>
        </w:r>
      </w:hyperlink>
      <w:r w:rsidRPr="00AA46C4">
        <w:rPr>
          <w:rStyle w:val="aa"/>
          <w:sz w:val="16"/>
          <w:szCs w:val="16"/>
        </w:rPr>
        <w:t>,</w:t>
      </w:r>
      <w:r w:rsidRPr="00AA46C4">
        <w:rPr>
          <w:sz w:val="16"/>
          <w:szCs w:val="16"/>
        </w:rPr>
        <w:t xml:space="preserve"> свободный. – </w:t>
      </w:r>
      <w:proofErr w:type="spellStart"/>
      <w:r w:rsidRPr="00AA46C4">
        <w:rPr>
          <w:sz w:val="16"/>
          <w:szCs w:val="16"/>
        </w:rPr>
        <w:t>Загл</w:t>
      </w:r>
      <w:proofErr w:type="spellEnd"/>
      <w:r w:rsidRPr="00AA46C4">
        <w:rPr>
          <w:sz w:val="16"/>
          <w:szCs w:val="16"/>
        </w:rPr>
        <w:t>. с экрана.</w:t>
      </w:r>
    </w:p>
  </w:footnote>
  <w:footnote w:id="88">
    <w:p w:rsidR="00E24259" w:rsidRPr="008033D9" w:rsidRDefault="00E24259" w:rsidP="007C16B4">
      <w:pPr>
        <w:pStyle w:val="a7"/>
        <w:jc w:val="both"/>
      </w:pPr>
      <w:r w:rsidRPr="00DB290B">
        <w:rPr>
          <w:rStyle w:val="a9"/>
          <w:sz w:val="16"/>
        </w:rPr>
        <w:footnoteRef/>
      </w:r>
      <w:r w:rsidRPr="00DB290B">
        <w:rPr>
          <w:sz w:val="16"/>
          <w:lang w:val="en-US"/>
        </w:rPr>
        <w:t xml:space="preserve"> The securities enforcement manual: tactics and strategies / contributing authors, Nicole A. Baker … </w:t>
      </w:r>
      <w:r w:rsidRPr="00296F15">
        <w:rPr>
          <w:sz w:val="16"/>
        </w:rPr>
        <w:t>[</w:t>
      </w:r>
      <w:r w:rsidRPr="00DB290B">
        <w:rPr>
          <w:sz w:val="16"/>
          <w:lang w:val="en-US"/>
        </w:rPr>
        <w:t>et</w:t>
      </w:r>
      <w:r w:rsidRPr="00296F15">
        <w:rPr>
          <w:sz w:val="16"/>
        </w:rPr>
        <w:t xml:space="preserve"> </w:t>
      </w:r>
      <w:r w:rsidRPr="00DB290B">
        <w:rPr>
          <w:sz w:val="16"/>
          <w:lang w:val="en-US"/>
        </w:rPr>
        <w:t>al</w:t>
      </w:r>
      <w:r w:rsidRPr="00296F15">
        <w:rPr>
          <w:sz w:val="16"/>
        </w:rPr>
        <w:t xml:space="preserve">.]; </w:t>
      </w:r>
      <w:r w:rsidRPr="00DB290B">
        <w:rPr>
          <w:sz w:val="16"/>
          <w:lang w:val="en-US"/>
        </w:rPr>
        <w:t>edited</w:t>
      </w:r>
      <w:r w:rsidRPr="00296F15">
        <w:rPr>
          <w:sz w:val="16"/>
        </w:rPr>
        <w:t xml:space="preserve"> </w:t>
      </w:r>
      <w:r w:rsidRPr="00DB290B">
        <w:rPr>
          <w:sz w:val="16"/>
          <w:lang w:val="en-US"/>
        </w:rPr>
        <w:t>by</w:t>
      </w:r>
      <w:r w:rsidRPr="00296F15">
        <w:rPr>
          <w:sz w:val="16"/>
        </w:rPr>
        <w:t xml:space="preserve"> </w:t>
      </w:r>
      <w:r w:rsidRPr="00DB290B">
        <w:rPr>
          <w:sz w:val="16"/>
          <w:lang w:val="en-US"/>
        </w:rPr>
        <w:t>Kirkpatrick</w:t>
      </w:r>
      <w:r w:rsidRPr="00296F15">
        <w:rPr>
          <w:sz w:val="16"/>
        </w:rPr>
        <w:t xml:space="preserve"> &amp; </w:t>
      </w:r>
      <w:r w:rsidRPr="00DB290B">
        <w:rPr>
          <w:sz w:val="16"/>
          <w:lang w:val="en-US"/>
        </w:rPr>
        <w:t>Lockhart</w:t>
      </w:r>
      <w:r w:rsidRPr="00296F15">
        <w:rPr>
          <w:sz w:val="16"/>
        </w:rPr>
        <w:t xml:space="preserve"> </w:t>
      </w:r>
      <w:r w:rsidRPr="00DB290B">
        <w:rPr>
          <w:sz w:val="16"/>
          <w:lang w:val="en-US"/>
        </w:rPr>
        <w:t>LLP</w:t>
      </w:r>
      <w:r w:rsidRPr="00296F15">
        <w:rPr>
          <w:sz w:val="16"/>
        </w:rPr>
        <w:t>. – 2</w:t>
      </w:r>
      <w:proofErr w:type="spellStart"/>
      <w:r w:rsidRPr="00DB290B">
        <w:rPr>
          <w:sz w:val="16"/>
          <w:vertAlign w:val="superscript"/>
          <w:lang w:val="en-US"/>
        </w:rPr>
        <w:t>nd</w:t>
      </w:r>
      <w:proofErr w:type="spellEnd"/>
      <w:r w:rsidRPr="00296F15">
        <w:rPr>
          <w:sz w:val="16"/>
        </w:rPr>
        <w:t xml:space="preserve"> </w:t>
      </w:r>
      <w:proofErr w:type="spellStart"/>
      <w:r w:rsidRPr="00DB290B">
        <w:rPr>
          <w:sz w:val="16"/>
          <w:lang w:val="en-US"/>
        </w:rPr>
        <w:t>ed</w:t>
      </w:r>
      <w:proofErr w:type="spellEnd"/>
      <w:r w:rsidRPr="00296F15">
        <w:rPr>
          <w:sz w:val="16"/>
        </w:rPr>
        <w:t>.</w:t>
      </w:r>
    </w:p>
  </w:footnote>
  <w:footnote w:id="89">
    <w:p w:rsidR="00E24259" w:rsidRPr="00F95800" w:rsidRDefault="00E24259" w:rsidP="00A7222A">
      <w:pPr>
        <w:pStyle w:val="a7"/>
        <w:jc w:val="both"/>
        <w:rPr>
          <w:sz w:val="16"/>
          <w:szCs w:val="16"/>
        </w:rPr>
      </w:pPr>
      <w:r w:rsidRPr="00F95800">
        <w:rPr>
          <w:rStyle w:val="a9"/>
          <w:sz w:val="16"/>
          <w:szCs w:val="16"/>
        </w:rPr>
        <w:footnoteRef/>
      </w:r>
      <w:r w:rsidRPr="00F95800">
        <w:rPr>
          <w:sz w:val="16"/>
          <w:szCs w:val="16"/>
        </w:rPr>
        <w:t xml:space="preserve"> Научная социальная сеть уголовно-правовой и криминологической направленности [Электронный ресурс]: Статистические данные ГИАЦ МВД России по состоянию преступности (2005-2009 гг.). – Режим доступа: </w:t>
      </w:r>
      <w:hyperlink r:id="rId45" w:history="1">
        <w:r w:rsidRPr="00F95800">
          <w:rPr>
            <w:rStyle w:val="aa"/>
            <w:sz w:val="16"/>
            <w:szCs w:val="16"/>
            <w:lang w:val="en-US"/>
          </w:rPr>
          <w:t>http</w:t>
        </w:r>
        <w:r w:rsidRPr="00F95800">
          <w:rPr>
            <w:rStyle w:val="aa"/>
            <w:sz w:val="16"/>
            <w:szCs w:val="16"/>
          </w:rPr>
          <w:t>://</w:t>
        </w:r>
        <w:r w:rsidRPr="00F95800">
          <w:rPr>
            <w:rStyle w:val="aa"/>
            <w:sz w:val="16"/>
            <w:szCs w:val="16"/>
            <w:lang w:val="en-US"/>
          </w:rPr>
          <w:t>www</w:t>
        </w:r>
        <w:r w:rsidRPr="00F95800">
          <w:rPr>
            <w:rStyle w:val="aa"/>
            <w:sz w:val="16"/>
            <w:szCs w:val="16"/>
          </w:rPr>
          <w:t>.</w:t>
        </w:r>
        <w:proofErr w:type="spellStart"/>
        <w:r w:rsidRPr="00F95800">
          <w:rPr>
            <w:rStyle w:val="aa"/>
            <w:sz w:val="16"/>
            <w:szCs w:val="16"/>
            <w:lang w:val="en-US"/>
          </w:rPr>
          <w:t>crimpravo</w:t>
        </w:r>
        <w:proofErr w:type="spellEnd"/>
        <w:r w:rsidRPr="00F95800">
          <w:rPr>
            <w:rStyle w:val="aa"/>
            <w:sz w:val="16"/>
            <w:szCs w:val="16"/>
          </w:rPr>
          <w:t>.</w:t>
        </w:r>
        <w:proofErr w:type="spellStart"/>
        <w:r w:rsidRPr="00F95800">
          <w:rPr>
            <w:rStyle w:val="aa"/>
            <w:sz w:val="16"/>
            <w:szCs w:val="16"/>
            <w:lang w:val="en-US"/>
          </w:rPr>
          <w:t>ru</w:t>
        </w:r>
        <w:proofErr w:type="spellEnd"/>
        <w:r w:rsidRPr="00F95800">
          <w:rPr>
            <w:rStyle w:val="aa"/>
            <w:sz w:val="16"/>
            <w:szCs w:val="16"/>
          </w:rPr>
          <w:t>/</w:t>
        </w:r>
        <w:r w:rsidRPr="00F95800">
          <w:rPr>
            <w:rStyle w:val="aa"/>
            <w:sz w:val="16"/>
            <w:szCs w:val="16"/>
            <w:lang w:val="en-US"/>
          </w:rPr>
          <w:t>page</w:t>
        </w:r>
        <w:r w:rsidRPr="00F95800">
          <w:rPr>
            <w:rStyle w:val="aa"/>
            <w:sz w:val="16"/>
            <w:szCs w:val="16"/>
          </w:rPr>
          <w:t>/</w:t>
        </w:r>
        <w:proofErr w:type="spellStart"/>
        <w:r w:rsidRPr="00F95800">
          <w:rPr>
            <w:rStyle w:val="aa"/>
            <w:sz w:val="16"/>
            <w:szCs w:val="16"/>
            <w:lang w:val="en-US"/>
          </w:rPr>
          <w:t>mvdstatistic</w:t>
        </w:r>
        <w:proofErr w:type="spellEnd"/>
        <w:r w:rsidRPr="00F95800">
          <w:rPr>
            <w:rStyle w:val="aa"/>
            <w:sz w:val="16"/>
            <w:szCs w:val="16"/>
          </w:rPr>
          <w:t>/</w:t>
        </w:r>
      </w:hyperlink>
      <w:r w:rsidRPr="00F95800">
        <w:rPr>
          <w:rStyle w:val="aa"/>
          <w:sz w:val="16"/>
          <w:szCs w:val="16"/>
        </w:rPr>
        <w:t xml:space="preserve">, </w:t>
      </w:r>
      <w:r w:rsidRPr="00F95800">
        <w:rPr>
          <w:sz w:val="16"/>
          <w:szCs w:val="16"/>
        </w:rPr>
        <w:t xml:space="preserve">свободный. – </w:t>
      </w:r>
      <w:proofErr w:type="spellStart"/>
      <w:r w:rsidRPr="00F95800">
        <w:rPr>
          <w:sz w:val="16"/>
          <w:szCs w:val="16"/>
        </w:rPr>
        <w:t>Загл</w:t>
      </w:r>
      <w:proofErr w:type="spellEnd"/>
      <w:r w:rsidRPr="00F95800">
        <w:rPr>
          <w:sz w:val="16"/>
          <w:szCs w:val="16"/>
        </w:rPr>
        <w:t>. с экрана.</w:t>
      </w:r>
    </w:p>
  </w:footnote>
  <w:footnote w:id="90">
    <w:p w:rsidR="00E24259" w:rsidRPr="00750913" w:rsidRDefault="00E24259" w:rsidP="0007053D">
      <w:pPr>
        <w:pStyle w:val="a7"/>
        <w:jc w:val="both"/>
      </w:pPr>
      <w:r w:rsidRPr="00750913">
        <w:rPr>
          <w:rStyle w:val="a9"/>
          <w:sz w:val="16"/>
        </w:rPr>
        <w:footnoteRef/>
      </w:r>
      <w:r w:rsidRPr="00750913">
        <w:rPr>
          <w:sz w:val="16"/>
        </w:rPr>
        <w:t xml:space="preserve"> Гражданское право: В 4 т. Том </w:t>
      </w:r>
      <w:r>
        <w:rPr>
          <w:sz w:val="16"/>
        </w:rPr>
        <w:t>1</w:t>
      </w:r>
      <w:r w:rsidRPr="00750913">
        <w:rPr>
          <w:sz w:val="16"/>
        </w:rPr>
        <w:t xml:space="preserve">: Обязательственное право: Учебник. 3-е издание, переработанное и дополненное. Под ред. Е.А.Суханова. М. </w:t>
      </w:r>
      <w:proofErr w:type="spellStart"/>
      <w:r w:rsidRPr="00750913">
        <w:rPr>
          <w:sz w:val="16"/>
        </w:rPr>
        <w:t>Волтерс</w:t>
      </w:r>
      <w:proofErr w:type="spellEnd"/>
      <w:r w:rsidRPr="00750913">
        <w:rPr>
          <w:sz w:val="16"/>
        </w:rPr>
        <w:t xml:space="preserve"> </w:t>
      </w:r>
      <w:proofErr w:type="spellStart"/>
      <w:r w:rsidRPr="00750913">
        <w:rPr>
          <w:sz w:val="16"/>
        </w:rPr>
        <w:t>Клувер</w:t>
      </w:r>
      <w:proofErr w:type="spellEnd"/>
      <w:r w:rsidRPr="00750913">
        <w:rPr>
          <w:sz w:val="16"/>
        </w:rPr>
        <w:t>, 2008</w:t>
      </w:r>
    </w:p>
  </w:footnote>
  <w:footnote w:id="91">
    <w:p w:rsidR="00E24259" w:rsidRPr="00750913" w:rsidRDefault="00E24259" w:rsidP="0007053D">
      <w:pPr>
        <w:pStyle w:val="a7"/>
        <w:jc w:val="both"/>
      </w:pPr>
      <w:r w:rsidRPr="00750913">
        <w:rPr>
          <w:rStyle w:val="a9"/>
          <w:sz w:val="16"/>
        </w:rPr>
        <w:footnoteRef/>
      </w:r>
      <w:r w:rsidRPr="00750913">
        <w:rPr>
          <w:sz w:val="16"/>
        </w:rPr>
        <w:t xml:space="preserve"> Сергеев А.П. (ред.), Толстой Ю.К. (ред.) Гражданское право. Учебник: в 3 т. Том</w:t>
      </w:r>
      <w:r>
        <w:rPr>
          <w:sz w:val="16"/>
        </w:rPr>
        <w:t xml:space="preserve"> </w:t>
      </w:r>
      <w:r w:rsidRPr="00750913">
        <w:rPr>
          <w:sz w:val="16"/>
        </w:rPr>
        <w:t xml:space="preserve">1. — 6-е изд., </w:t>
      </w:r>
      <w:proofErr w:type="spellStart"/>
      <w:r w:rsidRPr="00750913">
        <w:rPr>
          <w:sz w:val="16"/>
        </w:rPr>
        <w:t>перераб</w:t>
      </w:r>
      <w:proofErr w:type="spellEnd"/>
      <w:r w:rsidRPr="00750913">
        <w:rPr>
          <w:sz w:val="16"/>
        </w:rPr>
        <w:t>. и доп. — М.</w:t>
      </w:r>
      <w:proofErr w:type="gramStart"/>
      <w:r w:rsidRPr="00750913">
        <w:rPr>
          <w:sz w:val="16"/>
        </w:rPr>
        <w:t xml:space="preserve"> :</w:t>
      </w:r>
      <w:proofErr w:type="gramEnd"/>
      <w:r w:rsidRPr="00750913">
        <w:rPr>
          <w:sz w:val="16"/>
        </w:rPr>
        <w:t xml:space="preserve"> ТК </w:t>
      </w:r>
      <w:proofErr w:type="spellStart"/>
      <w:r w:rsidRPr="00750913">
        <w:rPr>
          <w:sz w:val="16"/>
        </w:rPr>
        <w:t>Велби</w:t>
      </w:r>
      <w:proofErr w:type="spellEnd"/>
      <w:r w:rsidRPr="00750913">
        <w:rPr>
          <w:sz w:val="16"/>
        </w:rPr>
        <w:t>, Изд-во Проспект,</w:t>
      </w:r>
      <w:r>
        <w:rPr>
          <w:sz w:val="16"/>
        </w:rPr>
        <w:t xml:space="preserve"> </w:t>
      </w:r>
      <w:r w:rsidRPr="00750913">
        <w:rPr>
          <w:sz w:val="16"/>
        </w:rPr>
        <w:t>2005. — 776 с.</w:t>
      </w:r>
    </w:p>
  </w:footnote>
  <w:footnote w:id="92">
    <w:p w:rsidR="00E24259" w:rsidRPr="00E05320" w:rsidRDefault="00E24259" w:rsidP="00E05320">
      <w:pPr>
        <w:pStyle w:val="a7"/>
        <w:jc w:val="both"/>
        <w:rPr>
          <w:sz w:val="16"/>
          <w:szCs w:val="16"/>
        </w:rPr>
      </w:pPr>
      <w:r w:rsidRPr="00E05320">
        <w:rPr>
          <w:rStyle w:val="a9"/>
          <w:sz w:val="16"/>
          <w:szCs w:val="16"/>
        </w:rPr>
        <w:footnoteRef/>
      </w:r>
      <w:r w:rsidRPr="00E05320">
        <w:rPr>
          <w:sz w:val="16"/>
          <w:szCs w:val="16"/>
        </w:rPr>
        <w:t xml:space="preserve"> "Гражданский кодекс Российской Федерации (часть первая)" от 30.11.1994 N 51-ФЗ</w:t>
      </w:r>
      <w:r>
        <w:rPr>
          <w:sz w:val="16"/>
          <w:szCs w:val="16"/>
        </w:rPr>
        <w:t xml:space="preserve"> // </w:t>
      </w:r>
      <w:r w:rsidRPr="00E05320">
        <w:rPr>
          <w:sz w:val="16"/>
          <w:szCs w:val="16"/>
        </w:rPr>
        <w:t>Собрание законодательства РФ.</w:t>
      </w:r>
      <w:r>
        <w:rPr>
          <w:sz w:val="16"/>
          <w:szCs w:val="16"/>
        </w:rPr>
        <w:t xml:space="preserve"> – </w:t>
      </w:r>
      <w:r w:rsidRPr="00E05320">
        <w:rPr>
          <w:sz w:val="16"/>
          <w:szCs w:val="16"/>
        </w:rPr>
        <w:t>1994</w:t>
      </w:r>
      <w:r>
        <w:rPr>
          <w:sz w:val="16"/>
          <w:szCs w:val="16"/>
        </w:rPr>
        <w:t>. -</w:t>
      </w:r>
      <w:r w:rsidRPr="00E05320">
        <w:rPr>
          <w:sz w:val="16"/>
          <w:szCs w:val="16"/>
        </w:rPr>
        <w:t xml:space="preserve"> N 32</w:t>
      </w:r>
      <w:r>
        <w:rPr>
          <w:sz w:val="16"/>
          <w:szCs w:val="16"/>
        </w:rPr>
        <w:t>. - С</w:t>
      </w:r>
      <w:r w:rsidRPr="00E05320">
        <w:rPr>
          <w:sz w:val="16"/>
          <w:szCs w:val="16"/>
        </w:rPr>
        <w:t>т. 3301</w:t>
      </w:r>
      <w:r>
        <w:rPr>
          <w:sz w:val="16"/>
          <w:szCs w:val="16"/>
        </w:rPr>
        <w:t>.</w:t>
      </w:r>
    </w:p>
  </w:footnote>
  <w:footnote w:id="93">
    <w:p w:rsidR="00E24259" w:rsidRPr="00CD1B72" w:rsidRDefault="00E24259" w:rsidP="00766165">
      <w:pPr>
        <w:pStyle w:val="a7"/>
        <w:jc w:val="both"/>
      </w:pPr>
      <w:r w:rsidRPr="00CD1B72">
        <w:rPr>
          <w:rStyle w:val="a9"/>
          <w:sz w:val="16"/>
        </w:rPr>
        <w:footnoteRef/>
      </w:r>
      <w:r w:rsidRPr="00CD1B72">
        <w:rPr>
          <w:sz w:val="16"/>
        </w:rPr>
        <w:t xml:space="preserve"> Постановление Пленума Верховного Суда РФ </w:t>
      </w:r>
      <w:r w:rsidRPr="00CD1B72">
        <w:rPr>
          <w:sz w:val="16"/>
          <w:lang w:val="en-US"/>
        </w:rPr>
        <w:t>N</w:t>
      </w:r>
      <w:r w:rsidRPr="00CD1B72">
        <w:rPr>
          <w:sz w:val="16"/>
        </w:rPr>
        <w:t xml:space="preserve"> 6, Пленума ВАС РФ </w:t>
      </w:r>
      <w:r w:rsidRPr="00CD1B72">
        <w:rPr>
          <w:sz w:val="16"/>
          <w:lang w:val="en-US"/>
        </w:rPr>
        <w:t>N</w:t>
      </w:r>
      <w:r w:rsidRPr="00CD1B72">
        <w:rPr>
          <w:sz w:val="16"/>
        </w:rPr>
        <w:t xml:space="preserve"> 8 от 01.07.1996</w:t>
      </w:r>
      <w:r>
        <w:rPr>
          <w:sz w:val="16"/>
        </w:rPr>
        <w:t xml:space="preserve"> </w:t>
      </w:r>
      <w:r w:rsidRPr="00CD1B72">
        <w:rPr>
          <w:sz w:val="16"/>
        </w:rPr>
        <w:t>"О некоторых вопросах, связанных с применением части первой Гражданского кодекса Российской Федерации"</w:t>
      </w:r>
      <w:r>
        <w:rPr>
          <w:sz w:val="16"/>
        </w:rPr>
        <w:t xml:space="preserve"> // СПС «Консультант Плюс».</w:t>
      </w:r>
    </w:p>
  </w:footnote>
  <w:footnote w:id="94">
    <w:p w:rsidR="00E24259" w:rsidRPr="001C4424" w:rsidRDefault="00E24259" w:rsidP="00B5273C">
      <w:pPr>
        <w:spacing w:after="0"/>
        <w:jc w:val="both"/>
        <w:rPr>
          <w:sz w:val="16"/>
          <w:szCs w:val="16"/>
          <w:lang w:val="en-US"/>
        </w:rPr>
      </w:pPr>
      <w:r w:rsidRPr="001C4424">
        <w:rPr>
          <w:rStyle w:val="a9"/>
          <w:sz w:val="16"/>
          <w:szCs w:val="16"/>
        </w:rPr>
        <w:footnoteRef/>
      </w:r>
      <w:r w:rsidRPr="001C4424">
        <w:rPr>
          <w:sz w:val="16"/>
          <w:szCs w:val="16"/>
          <w:lang w:val="en-US"/>
        </w:rPr>
        <w:t xml:space="preserve"> </w:t>
      </w:r>
      <w:proofErr w:type="spellStart"/>
      <w:r w:rsidRPr="001C4424">
        <w:rPr>
          <w:sz w:val="16"/>
          <w:szCs w:val="16"/>
          <w:lang w:val="en-US"/>
        </w:rPr>
        <w:t>Fahad</w:t>
      </w:r>
      <w:proofErr w:type="spellEnd"/>
      <w:r w:rsidRPr="001C4424">
        <w:rPr>
          <w:sz w:val="16"/>
          <w:szCs w:val="16"/>
          <w:lang w:val="en-US"/>
        </w:rPr>
        <w:t xml:space="preserve"> Al-</w:t>
      </w:r>
      <w:proofErr w:type="spellStart"/>
      <w:r w:rsidRPr="001C4424">
        <w:rPr>
          <w:sz w:val="16"/>
          <w:szCs w:val="16"/>
          <w:lang w:val="en-US"/>
        </w:rPr>
        <w:t>Zumai</w:t>
      </w:r>
      <w:proofErr w:type="spellEnd"/>
      <w:r w:rsidRPr="001C4424">
        <w:rPr>
          <w:sz w:val="16"/>
          <w:szCs w:val="16"/>
          <w:lang w:val="en-US"/>
        </w:rPr>
        <w:t xml:space="preserve">. Comparative Study of the Legal Framework of Securities Disclosure Requirements in Kuwait and the U.S. // Arab Law Quarterly. - Vol. 21. </w:t>
      </w:r>
      <w:proofErr w:type="gramStart"/>
      <w:r w:rsidRPr="001C4424">
        <w:rPr>
          <w:sz w:val="16"/>
          <w:szCs w:val="16"/>
          <w:lang w:val="en-US"/>
        </w:rPr>
        <w:t>- No. 3 (2007).</w:t>
      </w:r>
      <w:proofErr w:type="gramEnd"/>
      <w:r w:rsidRPr="001C4424">
        <w:rPr>
          <w:sz w:val="16"/>
          <w:szCs w:val="16"/>
          <w:lang w:val="en-US"/>
        </w:rPr>
        <w:t xml:space="preserve"> - </w:t>
      </w:r>
      <w:proofErr w:type="spellStart"/>
      <w:proofErr w:type="gramStart"/>
      <w:r w:rsidRPr="001C4424">
        <w:rPr>
          <w:sz w:val="16"/>
          <w:szCs w:val="16"/>
        </w:rPr>
        <w:t>стр</w:t>
      </w:r>
      <w:proofErr w:type="spellEnd"/>
      <w:proofErr w:type="gramEnd"/>
      <w:r w:rsidRPr="001C4424">
        <w:rPr>
          <w:sz w:val="16"/>
          <w:szCs w:val="16"/>
          <w:lang w:val="en-US"/>
        </w:rPr>
        <w:t xml:space="preserve">. 230-250. – </w:t>
      </w:r>
      <w:r w:rsidRPr="001C4424">
        <w:rPr>
          <w:sz w:val="16"/>
          <w:szCs w:val="16"/>
        </w:rPr>
        <w:t>Опубликовано</w:t>
      </w:r>
      <w:r w:rsidRPr="001C4424">
        <w:rPr>
          <w:sz w:val="16"/>
          <w:szCs w:val="16"/>
          <w:lang w:val="en-US"/>
        </w:rPr>
        <w:t xml:space="preserve">: BRILL. </w:t>
      </w:r>
      <w:proofErr w:type="gramStart"/>
      <w:r w:rsidRPr="001C4424">
        <w:rPr>
          <w:sz w:val="16"/>
          <w:szCs w:val="16"/>
          <w:lang w:val="en-US"/>
        </w:rPr>
        <w:t xml:space="preserve">– </w:t>
      </w:r>
      <w:r w:rsidRPr="001C4424">
        <w:rPr>
          <w:sz w:val="16"/>
          <w:szCs w:val="16"/>
        </w:rPr>
        <w:t>Режим</w:t>
      </w:r>
      <w:r w:rsidRPr="001C4424">
        <w:rPr>
          <w:sz w:val="16"/>
          <w:szCs w:val="16"/>
          <w:lang w:val="en-US"/>
        </w:rPr>
        <w:t xml:space="preserve"> </w:t>
      </w:r>
      <w:r w:rsidRPr="001C4424">
        <w:rPr>
          <w:sz w:val="16"/>
          <w:szCs w:val="16"/>
        </w:rPr>
        <w:t>доступа</w:t>
      </w:r>
      <w:r w:rsidRPr="001C4424">
        <w:rPr>
          <w:sz w:val="16"/>
          <w:szCs w:val="16"/>
          <w:lang w:val="en-US"/>
        </w:rPr>
        <w:t xml:space="preserve">: </w:t>
      </w:r>
      <w:hyperlink r:id="rId46" w:history="1">
        <w:r w:rsidRPr="001C4424">
          <w:rPr>
            <w:rStyle w:val="aa"/>
            <w:sz w:val="16"/>
            <w:szCs w:val="16"/>
            <w:lang w:val="en-US"/>
          </w:rPr>
          <w:t>http://www.jstor.org/stable/27650588</w:t>
        </w:r>
      </w:hyperlink>
      <w:r w:rsidRPr="001C4424">
        <w:rPr>
          <w:sz w:val="16"/>
          <w:szCs w:val="16"/>
          <w:lang w:val="en-US"/>
        </w:rPr>
        <w:t xml:space="preserve">, </w:t>
      </w:r>
      <w:r w:rsidRPr="001C4424">
        <w:rPr>
          <w:sz w:val="16"/>
          <w:szCs w:val="16"/>
        </w:rPr>
        <w:t>платный</w:t>
      </w:r>
      <w:r w:rsidRPr="001C4424">
        <w:rPr>
          <w:sz w:val="16"/>
          <w:szCs w:val="16"/>
          <w:lang w:val="en-US"/>
        </w:rPr>
        <w:t>.</w:t>
      </w:r>
      <w:proofErr w:type="gramEnd"/>
      <w:r w:rsidRPr="001C4424">
        <w:rPr>
          <w:sz w:val="16"/>
          <w:szCs w:val="16"/>
          <w:lang w:val="en-US"/>
        </w:rPr>
        <w:t xml:space="preserve"> </w:t>
      </w:r>
      <w:proofErr w:type="gramStart"/>
      <w:r w:rsidRPr="001C4424">
        <w:rPr>
          <w:sz w:val="16"/>
          <w:szCs w:val="16"/>
          <w:lang w:val="en-US"/>
        </w:rPr>
        <w:t xml:space="preserve">– </w:t>
      </w:r>
      <w:proofErr w:type="spellStart"/>
      <w:r w:rsidRPr="001C4424">
        <w:rPr>
          <w:sz w:val="16"/>
          <w:szCs w:val="16"/>
        </w:rPr>
        <w:t>Загл</w:t>
      </w:r>
      <w:proofErr w:type="spellEnd"/>
      <w:r w:rsidRPr="001C4424">
        <w:rPr>
          <w:sz w:val="16"/>
          <w:szCs w:val="16"/>
          <w:lang w:val="en-US"/>
        </w:rPr>
        <w:t xml:space="preserve">. </w:t>
      </w:r>
      <w:r w:rsidRPr="001C4424">
        <w:rPr>
          <w:sz w:val="16"/>
          <w:szCs w:val="16"/>
        </w:rPr>
        <w:t>с</w:t>
      </w:r>
      <w:r w:rsidRPr="001C4424">
        <w:rPr>
          <w:sz w:val="16"/>
          <w:szCs w:val="16"/>
          <w:lang w:val="en-US"/>
        </w:rPr>
        <w:t xml:space="preserve"> </w:t>
      </w:r>
      <w:r w:rsidRPr="001C4424">
        <w:rPr>
          <w:sz w:val="16"/>
          <w:szCs w:val="16"/>
        </w:rPr>
        <w:t>экрана</w:t>
      </w:r>
      <w:r w:rsidRPr="001C4424">
        <w:rPr>
          <w:sz w:val="16"/>
          <w:szCs w:val="16"/>
          <w:lang w:val="en-US"/>
        </w:rPr>
        <w:t>.</w:t>
      </w:r>
      <w:proofErr w:type="gramEnd"/>
      <w:r w:rsidRPr="001C4424">
        <w:rPr>
          <w:sz w:val="16"/>
          <w:szCs w:val="16"/>
          <w:lang w:val="en-US"/>
        </w:rPr>
        <w:t xml:space="preserve">   </w:t>
      </w:r>
    </w:p>
  </w:footnote>
  <w:footnote w:id="95">
    <w:p w:rsidR="00E24259" w:rsidRPr="00D61CE6" w:rsidRDefault="00E24259" w:rsidP="00B5273C">
      <w:pPr>
        <w:pStyle w:val="a7"/>
        <w:jc w:val="both"/>
        <w:rPr>
          <w:lang w:val="en-US"/>
        </w:rPr>
      </w:pPr>
      <w:r w:rsidRPr="004F1F21">
        <w:rPr>
          <w:rStyle w:val="a9"/>
          <w:sz w:val="16"/>
        </w:rPr>
        <w:footnoteRef/>
      </w:r>
      <w:r w:rsidRPr="004F1F21">
        <w:rPr>
          <w:sz w:val="16"/>
          <w:lang w:val="en-US"/>
        </w:rPr>
        <w:t xml:space="preserve"> Thomas Lee Hazen</w:t>
      </w:r>
      <w:proofErr w:type="gramStart"/>
      <w:r w:rsidRPr="00D61CE6">
        <w:rPr>
          <w:sz w:val="16"/>
          <w:lang w:val="en-US"/>
        </w:rPr>
        <w:t xml:space="preserve">, </w:t>
      </w:r>
      <w:r w:rsidRPr="004F1F21">
        <w:rPr>
          <w:sz w:val="16"/>
          <w:lang w:val="en-US"/>
        </w:rPr>
        <w:t xml:space="preserve"> Cary</w:t>
      </w:r>
      <w:proofErr w:type="gramEnd"/>
      <w:r w:rsidRPr="004F1F21">
        <w:rPr>
          <w:sz w:val="16"/>
          <w:lang w:val="en-US"/>
        </w:rPr>
        <w:t xml:space="preserve"> C. </w:t>
      </w:r>
      <w:proofErr w:type="spellStart"/>
      <w:r w:rsidRPr="004F1F21">
        <w:rPr>
          <w:sz w:val="16"/>
          <w:lang w:val="en-US"/>
        </w:rPr>
        <w:t>Boshamer</w:t>
      </w:r>
      <w:proofErr w:type="spellEnd"/>
      <w:r w:rsidRPr="004F1F21">
        <w:rPr>
          <w:sz w:val="16"/>
          <w:lang w:val="en-US"/>
        </w:rPr>
        <w:t xml:space="preserve"> Distinguished Professor of Law</w:t>
      </w:r>
      <w:r w:rsidRPr="00D61CE6">
        <w:rPr>
          <w:sz w:val="16"/>
          <w:lang w:val="en-US"/>
        </w:rPr>
        <w:t xml:space="preserve">. </w:t>
      </w:r>
      <w:proofErr w:type="gramStart"/>
      <w:r w:rsidRPr="004F1F21">
        <w:rPr>
          <w:sz w:val="16"/>
          <w:lang w:val="en-US"/>
        </w:rPr>
        <w:t>Federal Securities Law</w:t>
      </w:r>
      <w:r w:rsidRPr="00D61CE6">
        <w:rPr>
          <w:sz w:val="16"/>
          <w:lang w:val="en-US"/>
        </w:rPr>
        <w:t>.</w:t>
      </w:r>
      <w:proofErr w:type="gramEnd"/>
      <w:r w:rsidRPr="00D61CE6">
        <w:rPr>
          <w:sz w:val="16"/>
          <w:lang w:val="en-US"/>
        </w:rPr>
        <w:t xml:space="preserve"> - </w:t>
      </w:r>
      <w:r w:rsidRPr="004F1F21">
        <w:rPr>
          <w:sz w:val="16"/>
          <w:lang w:val="en-US"/>
        </w:rPr>
        <w:t>The University of North Carolina at C</w:t>
      </w:r>
      <w:r>
        <w:rPr>
          <w:sz w:val="16"/>
          <w:lang w:val="en-US"/>
        </w:rPr>
        <w:t>hapel Hill School of Law</w:t>
      </w:r>
      <w:proofErr w:type="gramStart"/>
      <w:r w:rsidRPr="00D61CE6">
        <w:rPr>
          <w:sz w:val="16"/>
          <w:lang w:val="en-US"/>
        </w:rPr>
        <w:t>.-</w:t>
      </w:r>
      <w:proofErr w:type="gramEnd"/>
      <w:r w:rsidRPr="00BD6D80">
        <w:rPr>
          <w:sz w:val="16"/>
          <w:lang w:val="en-US"/>
        </w:rPr>
        <w:t xml:space="preserve"> </w:t>
      </w:r>
      <w:r w:rsidRPr="004F1F21">
        <w:rPr>
          <w:sz w:val="16"/>
          <w:lang w:val="en-US"/>
        </w:rPr>
        <w:t>Second Edition</w:t>
      </w:r>
      <w:r w:rsidRPr="00D61CE6">
        <w:rPr>
          <w:sz w:val="16"/>
          <w:lang w:val="en-US"/>
        </w:rPr>
        <w:t>.</w:t>
      </w:r>
      <w:r w:rsidRPr="00BD6D80">
        <w:rPr>
          <w:sz w:val="16"/>
          <w:lang w:val="en-US"/>
        </w:rPr>
        <w:t xml:space="preserve"> </w:t>
      </w:r>
    </w:p>
  </w:footnote>
  <w:footnote w:id="96">
    <w:p w:rsidR="00E24259" w:rsidRPr="00D61CE6" w:rsidRDefault="00E24259" w:rsidP="00B5273C">
      <w:pPr>
        <w:pStyle w:val="a7"/>
        <w:jc w:val="both"/>
        <w:rPr>
          <w:sz w:val="18"/>
          <w:lang w:val="en-US"/>
        </w:rPr>
      </w:pPr>
      <w:r w:rsidRPr="003D4ED3">
        <w:rPr>
          <w:rStyle w:val="a9"/>
          <w:sz w:val="16"/>
        </w:rPr>
        <w:footnoteRef/>
      </w:r>
      <w:r w:rsidRPr="003D4ED3">
        <w:rPr>
          <w:sz w:val="16"/>
          <w:lang w:val="en-US"/>
        </w:rPr>
        <w:t xml:space="preserve"> </w:t>
      </w:r>
      <w:proofErr w:type="gramStart"/>
      <w:r w:rsidRPr="003D4ED3">
        <w:rPr>
          <w:sz w:val="16"/>
          <w:lang w:val="en-US"/>
        </w:rPr>
        <w:t xml:space="preserve">David B.H. Martin </w:t>
      </w:r>
      <w:r w:rsidRPr="003D4ED3">
        <w:rPr>
          <w:sz w:val="16"/>
        </w:rPr>
        <w:t>и</w:t>
      </w:r>
      <w:r w:rsidRPr="003D4ED3">
        <w:rPr>
          <w:sz w:val="16"/>
          <w:lang w:val="en-US"/>
        </w:rPr>
        <w:t xml:space="preserve"> Graham Robinson.</w:t>
      </w:r>
      <w:proofErr w:type="gramEnd"/>
      <w:r w:rsidRPr="003D4ED3">
        <w:rPr>
          <w:sz w:val="16"/>
          <w:lang w:val="en-US"/>
        </w:rPr>
        <w:t xml:space="preserve"> </w:t>
      </w:r>
      <w:proofErr w:type="gramStart"/>
      <w:r w:rsidRPr="003D4ED3">
        <w:rPr>
          <w:sz w:val="16"/>
          <w:lang w:val="en-US"/>
        </w:rPr>
        <w:t>Securities disclosure.</w:t>
      </w:r>
      <w:proofErr w:type="gramEnd"/>
      <w:r w:rsidRPr="003D4ED3">
        <w:rPr>
          <w:sz w:val="16"/>
          <w:lang w:val="en-US"/>
        </w:rPr>
        <w:t xml:space="preserve"> </w:t>
      </w:r>
      <w:r w:rsidRPr="00D61CE6">
        <w:rPr>
          <w:sz w:val="16"/>
          <w:lang w:val="en-US"/>
        </w:rPr>
        <w:t xml:space="preserve">// </w:t>
      </w:r>
      <w:r w:rsidRPr="003D4ED3">
        <w:rPr>
          <w:sz w:val="16"/>
          <w:lang w:val="en-US"/>
        </w:rPr>
        <w:t>Insights.</w:t>
      </w:r>
      <w:r w:rsidRPr="00D61CE6">
        <w:rPr>
          <w:sz w:val="16"/>
          <w:lang w:val="en-US"/>
        </w:rPr>
        <w:t xml:space="preserve"> -</w:t>
      </w:r>
      <w:r w:rsidRPr="003D4ED3">
        <w:rPr>
          <w:sz w:val="16"/>
          <w:lang w:val="en-US"/>
        </w:rPr>
        <w:t xml:space="preserve"> </w:t>
      </w:r>
      <w:proofErr w:type="spellStart"/>
      <w:r w:rsidRPr="003D4ED3">
        <w:rPr>
          <w:sz w:val="16"/>
          <w:lang w:val="en-US"/>
        </w:rPr>
        <w:t>Vol</w:t>
      </w:r>
      <w:proofErr w:type="spellEnd"/>
      <w:r w:rsidRPr="003D4ED3">
        <w:rPr>
          <w:sz w:val="16"/>
          <w:lang w:val="en-US"/>
        </w:rPr>
        <w:t xml:space="preserve"> 17.</w:t>
      </w:r>
      <w:r w:rsidRPr="00D61CE6">
        <w:rPr>
          <w:sz w:val="16"/>
          <w:lang w:val="en-US"/>
        </w:rPr>
        <w:t xml:space="preserve"> -</w:t>
      </w:r>
      <w:r w:rsidRPr="003D4ED3">
        <w:rPr>
          <w:sz w:val="16"/>
          <w:lang w:val="en-US"/>
        </w:rPr>
        <w:t xml:space="preserve"> No 9.</w:t>
      </w:r>
      <w:r w:rsidRPr="00D61CE6">
        <w:rPr>
          <w:sz w:val="16"/>
          <w:lang w:val="en-US"/>
        </w:rPr>
        <w:t xml:space="preserve"> </w:t>
      </w:r>
      <w:proofErr w:type="gramStart"/>
      <w:r>
        <w:rPr>
          <w:sz w:val="16"/>
          <w:lang w:val="en-US"/>
        </w:rPr>
        <w:t>–</w:t>
      </w:r>
      <w:r w:rsidRPr="003D4ED3">
        <w:rPr>
          <w:sz w:val="16"/>
          <w:lang w:val="en-US"/>
        </w:rPr>
        <w:t xml:space="preserve"> </w:t>
      </w:r>
      <w:r>
        <w:rPr>
          <w:sz w:val="16"/>
        </w:rPr>
        <w:t>Сентябрь</w:t>
      </w:r>
      <w:r w:rsidRPr="00D61CE6">
        <w:rPr>
          <w:sz w:val="16"/>
          <w:lang w:val="en-US"/>
        </w:rPr>
        <w:t>,</w:t>
      </w:r>
      <w:r w:rsidRPr="003D4ED3">
        <w:rPr>
          <w:sz w:val="16"/>
          <w:lang w:val="en-US"/>
        </w:rPr>
        <w:t xml:space="preserve"> 2003</w:t>
      </w:r>
      <w:r w:rsidRPr="00D61CE6">
        <w:rPr>
          <w:sz w:val="16"/>
          <w:lang w:val="en-US"/>
        </w:rPr>
        <w:t>.</w:t>
      </w:r>
      <w:proofErr w:type="gramEnd"/>
    </w:p>
  </w:footnote>
  <w:footnote w:id="97">
    <w:p w:rsidR="00E24259" w:rsidRPr="00CA55C2" w:rsidRDefault="00E24259" w:rsidP="00CA55C2">
      <w:pPr>
        <w:pStyle w:val="a7"/>
        <w:jc w:val="both"/>
        <w:rPr>
          <w:lang w:val="en-US"/>
        </w:rPr>
      </w:pPr>
      <w:r w:rsidRPr="003D4ED3">
        <w:rPr>
          <w:rStyle w:val="a9"/>
          <w:sz w:val="16"/>
        </w:rPr>
        <w:footnoteRef/>
      </w:r>
      <w:r w:rsidRPr="003D1D76">
        <w:rPr>
          <w:sz w:val="16"/>
          <w:lang w:val="en-US"/>
        </w:rPr>
        <w:t xml:space="preserve"> </w:t>
      </w:r>
      <w:r w:rsidRPr="003D4ED3">
        <w:rPr>
          <w:sz w:val="16"/>
          <w:lang w:val="en-US"/>
        </w:rPr>
        <w:t>Charles Harrison Meyer</w:t>
      </w:r>
      <w:r w:rsidRPr="00CA55C2">
        <w:rPr>
          <w:sz w:val="16"/>
          <w:lang w:val="en-US"/>
        </w:rPr>
        <w:t>.</w:t>
      </w:r>
      <w:r w:rsidRPr="003D4ED3">
        <w:rPr>
          <w:sz w:val="16"/>
          <w:lang w:val="en-US"/>
        </w:rPr>
        <w:t xml:space="preserve"> The Securities Exchange Act of 1934: Analyzed and Explained</w:t>
      </w:r>
      <w:r w:rsidRPr="003D1D76">
        <w:rPr>
          <w:sz w:val="16"/>
          <w:lang w:val="en-US"/>
        </w:rPr>
        <w:t>.</w:t>
      </w:r>
      <w:r w:rsidRPr="003D4ED3">
        <w:rPr>
          <w:sz w:val="16"/>
          <w:lang w:val="en-US"/>
        </w:rPr>
        <w:t xml:space="preserve"> - </w:t>
      </w:r>
      <w:r w:rsidRPr="00CA55C2">
        <w:rPr>
          <w:sz w:val="16"/>
          <w:lang w:val="en-US"/>
        </w:rPr>
        <w:t xml:space="preserve">Wm. S. Hein Publishing, </w:t>
      </w:r>
      <w:r>
        <w:rPr>
          <w:sz w:val="16"/>
          <w:lang w:val="en-US"/>
        </w:rPr>
        <w:t>1934</w:t>
      </w:r>
      <w:r w:rsidRPr="00CA55C2">
        <w:rPr>
          <w:sz w:val="16"/>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2F7"/>
    <w:multiLevelType w:val="hybridMultilevel"/>
    <w:tmpl w:val="76668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67404"/>
    <w:multiLevelType w:val="hybridMultilevel"/>
    <w:tmpl w:val="14F41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16BC9"/>
    <w:multiLevelType w:val="hybridMultilevel"/>
    <w:tmpl w:val="AEC2E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10E7E"/>
    <w:multiLevelType w:val="hybridMultilevel"/>
    <w:tmpl w:val="7A0A4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7427D"/>
    <w:multiLevelType w:val="hybridMultilevel"/>
    <w:tmpl w:val="38B0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10985"/>
    <w:multiLevelType w:val="hybridMultilevel"/>
    <w:tmpl w:val="CA7CB4D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55496D"/>
    <w:multiLevelType w:val="hybridMultilevel"/>
    <w:tmpl w:val="28522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26448"/>
    <w:multiLevelType w:val="hybridMultilevel"/>
    <w:tmpl w:val="C032E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53627"/>
    <w:multiLevelType w:val="hybridMultilevel"/>
    <w:tmpl w:val="8B941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44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F246ED"/>
    <w:multiLevelType w:val="hybridMultilevel"/>
    <w:tmpl w:val="271247A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C550E"/>
    <w:multiLevelType w:val="multilevel"/>
    <w:tmpl w:val="A65EE26E"/>
    <w:lvl w:ilvl="0">
      <w:start w:val="1"/>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2">
    <w:nsid w:val="41603BD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DB3184"/>
    <w:multiLevelType w:val="hybridMultilevel"/>
    <w:tmpl w:val="B8FAF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557DE"/>
    <w:multiLevelType w:val="hybridMultilevel"/>
    <w:tmpl w:val="76668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080018"/>
    <w:multiLevelType w:val="hybridMultilevel"/>
    <w:tmpl w:val="8B941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9879DA"/>
    <w:multiLevelType w:val="hybridMultilevel"/>
    <w:tmpl w:val="E5B639E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6DB36C6"/>
    <w:multiLevelType w:val="multilevel"/>
    <w:tmpl w:val="342A92E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8FA13B9"/>
    <w:multiLevelType w:val="hybridMultilevel"/>
    <w:tmpl w:val="A05C5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CB37C8"/>
    <w:multiLevelType w:val="hybridMultilevel"/>
    <w:tmpl w:val="76668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5"/>
  </w:num>
  <w:num w:numId="4">
    <w:abstractNumId w:val="11"/>
  </w:num>
  <w:num w:numId="5">
    <w:abstractNumId w:val="12"/>
  </w:num>
  <w:num w:numId="6">
    <w:abstractNumId w:val="0"/>
  </w:num>
  <w:num w:numId="7">
    <w:abstractNumId w:val="19"/>
  </w:num>
  <w:num w:numId="8">
    <w:abstractNumId w:val="14"/>
  </w:num>
  <w:num w:numId="9">
    <w:abstractNumId w:val="13"/>
  </w:num>
  <w:num w:numId="10">
    <w:abstractNumId w:val="1"/>
  </w:num>
  <w:num w:numId="11">
    <w:abstractNumId w:val="7"/>
  </w:num>
  <w:num w:numId="12">
    <w:abstractNumId w:val="18"/>
  </w:num>
  <w:num w:numId="13">
    <w:abstractNumId w:val="6"/>
  </w:num>
  <w:num w:numId="14">
    <w:abstractNumId w:val="17"/>
  </w:num>
  <w:num w:numId="15">
    <w:abstractNumId w:val="9"/>
  </w:num>
  <w:num w:numId="16">
    <w:abstractNumId w:val="2"/>
  </w:num>
  <w:num w:numId="17">
    <w:abstractNumId w:val="3"/>
  </w:num>
  <w:num w:numId="18">
    <w:abstractNumId w:val="4"/>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AA3EB4"/>
    <w:rsid w:val="000063C6"/>
    <w:rsid w:val="00012A30"/>
    <w:rsid w:val="000160C5"/>
    <w:rsid w:val="00020C50"/>
    <w:rsid w:val="00027D80"/>
    <w:rsid w:val="000308E6"/>
    <w:rsid w:val="0003206A"/>
    <w:rsid w:val="00032839"/>
    <w:rsid w:val="000333A9"/>
    <w:rsid w:val="000370B6"/>
    <w:rsid w:val="00040AE9"/>
    <w:rsid w:val="000512D8"/>
    <w:rsid w:val="00053144"/>
    <w:rsid w:val="00054085"/>
    <w:rsid w:val="00054CBF"/>
    <w:rsid w:val="00056FE8"/>
    <w:rsid w:val="000658C3"/>
    <w:rsid w:val="0007053D"/>
    <w:rsid w:val="00070ACD"/>
    <w:rsid w:val="00071EC1"/>
    <w:rsid w:val="00074BB3"/>
    <w:rsid w:val="0007688C"/>
    <w:rsid w:val="00076B10"/>
    <w:rsid w:val="0007706B"/>
    <w:rsid w:val="00077E71"/>
    <w:rsid w:val="000801B2"/>
    <w:rsid w:val="00086BE5"/>
    <w:rsid w:val="000961EB"/>
    <w:rsid w:val="00097434"/>
    <w:rsid w:val="000A26D8"/>
    <w:rsid w:val="000B0775"/>
    <w:rsid w:val="000B5468"/>
    <w:rsid w:val="000C19C3"/>
    <w:rsid w:val="000C308E"/>
    <w:rsid w:val="000C6242"/>
    <w:rsid w:val="000C6C89"/>
    <w:rsid w:val="000D3DC6"/>
    <w:rsid w:val="000D568C"/>
    <w:rsid w:val="000D7170"/>
    <w:rsid w:val="000D755A"/>
    <w:rsid w:val="000D7ADC"/>
    <w:rsid w:val="000E19FA"/>
    <w:rsid w:val="000E334D"/>
    <w:rsid w:val="000E4881"/>
    <w:rsid w:val="000F53CF"/>
    <w:rsid w:val="000F5643"/>
    <w:rsid w:val="000F6D2B"/>
    <w:rsid w:val="000F72CF"/>
    <w:rsid w:val="000F7992"/>
    <w:rsid w:val="000F7A37"/>
    <w:rsid w:val="00101FF9"/>
    <w:rsid w:val="001020D2"/>
    <w:rsid w:val="00102F53"/>
    <w:rsid w:val="001037FE"/>
    <w:rsid w:val="001061DB"/>
    <w:rsid w:val="0011346D"/>
    <w:rsid w:val="00121FCB"/>
    <w:rsid w:val="00123B76"/>
    <w:rsid w:val="00125DB6"/>
    <w:rsid w:val="00131BA7"/>
    <w:rsid w:val="00133DDE"/>
    <w:rsid w:val="00136D2A"/>
    <w:rsid w:val="001407DE"/>
    <w:rsid w:val="0014575B"/>
    <w:rsid w:val="00150ED6"/>
    <w:rsid w:val="001528A2"/>
    <w:rsid w:val="001535B9"/>
    <w:rsid w:val="0015595B"/>
    <w:rsid w:val="00155FA7"/>
    <w:rsid w:val="001560A6"/>
    <w:rsid w:val="001672A3"/>
    <w:rsid w:val="0017277B"/>
    <w:rsid w:val="00172A91"/>
    <w:rsid w:val="0017492A"/>
    <w:rsid w:val="00176524"/>
    <w:rsid w:val="00177127"/>
    <w:rsid w:val="00177507"/>
    <w:rsid w:val="0018056E"/>
    <w:rsid w:val="00181349"/>
    <w:rsid w:val="00190F1C"/>
    <w:rsid w:val="001911AA"/>
    <w:rsid w:val="00192CB6"/>
    <w:rsid w:val="00192D12"/>
    <w:rsid w:val="00195F67"/>
    <w:rsid w:val="00196F2B"/>
    <w:rsid w:val="001A27A8"/>
    <w:rsid w:val="001A3716"/>
    <w:rsid w:val="001B3246"/>
    <w:rsid w:val="001B49DF"/>
    <w:rsid w:val="001B4A9C"/>
    <w:rsid w:val="001B501C"/>
    <w:rsid w:val="001C0169"/>
    <w:rsid w:val="001C0947"/>
    <w:rsid w:val="001C33FF"/>
    <w:rsid w:val="001C4424"/>
    <w:rsid w:val="001C5305"/>
    <w:rsid w:val="001D0A50"/>
    <w:rsid w:val="001D48D8"/>
    <w:rsid w:val="001D4AD2"/>
    <w:rsid w:val="001D59CB"/>
    <w:rsid w:val="001E1CED"/>
    <w:rsid w:val="001E202B"/>
    <w:rsid w:val="001E247C"/>
    <w:rsid w:val="001E6AEE"/>
    <w:rsid w:val="001F0B03"/>
    <w:rsid w:val="001F6A54"/>
    <w:rsid w:val="001F6AFE"/>
    <w:rsid w:val="00202233"/>
    <w:rsid w:val="00203EDF"/>
    <w:rsid w:val="002056F7"/>
    <w:rsid w:val="002072FB"/>
    <w:rsid w:val="00207642"/>
    <w:rsid w:val="00212363"/>
    <w:rsid w:val="002225A6"/>
    <w:rsid w:val="00222CD6"/>
    <w:rsid w:val="002231B9"/>
    <w:rsid w:val="00225A32"/>
    <w:rsid w:val="002274FB"/>
    <w:rsid w:val="00233212"/>
    <w:rsid w:val="0024198C"/>
    <w:rsid w:val="00242065"/>
    <w:rsid w:val="00244F11"/>
    <w:rsid w:val="0024650C"/>
    <w:rsid w:val="00246F12"/>
    <w:rsid w:val="00251FDA"/>
    <w:rsid w:val="00256C86"/>
    <w:rsid w:val="0025757D"/>
    <w:rsid w:val="002639FA"/>
    <w:rsid w:val="00263A90"/>
    <w:rsid w:val="00270BAA"/>
    <w:rsid w:val="002727EE"/>
    <w:rsid w:val="00280514"/>
    <w:rsid w:val="00282B60"/>
    <w:rsid w:val="002838F4"/>
    <w:rsid w:val="00285489"/>
    <w:rsid w:val="00295C59"/>
    <w:rsid w:val="00296F15"/>
    <w:rsid w:val="002A22E4"/>
    <w:rsid w:val="002A58E4"/>
    <w:rsid w:val="002A6C2E"/>
    <w:rsid w:val="002B01CD"/>
    <w:rsid w:val="002B14F2"/>
    <w:rsid w:val="002B2C5C"/>
    <w:rsid w:val="002C594B"/>
    <w:rsid w:val="002C6414"/>
    <w:rsid w:val="002D11DD"/>
    <w:rsid w:val="002D16BA"/>
    <w:rsid w:val="002D30BA"/>
    <w:rsid w:val="002D3E85"/>
    <w:rsid w:val="002E4D79"/>
    <w:rsid w:val="002E6BD5"/>
    <w:rsid w:val="002F1401"/>
    <w:rsid w:val="002F261E"/>
    <w:rsid w:val="002F4BCA"/>
    <w:rsid w:val="002F79AC"/>
    <w:rsid w:val="003023F3"/>
    <w:rsid w:val="003034D1"/>
    <w:rsid w:val="00304702"/>
    <w:rsid w:val="00305F0D"/>
    <w:rsid w:val="00317830"/>
    <w:rsid w:val="00324D57"/>
    <w:rsid w:val="003354C4"/>
    <w:rsid w:val="00335CBB"/>
    <w:rsid w:val="0033775B"/>
    <w:rsid w:val="00345DBE"/>
    <w:rsid w:val="00347813"/>
    <w:rsid w:val="00347B9D"/>
    <w:rsid w:val="003505CC"/>
    <w:rsid w:val="003535C4"/>
    <w:rsid w:val="003554AC"/>
    <w:rsid w:val="00360F3E"/>
    <w:rsid w:val="00361170"/>
    <w:rsid w:val="003616AB"/>
    <w:rsid w:val="00366C90"/>
    <w:rsid w:val="00370235"/>
    <w:rsid w:val="003717A0"/>
    <w:rsid w:val="00372259"/>
    <w:rsid w:val="0037292D"/>
    <w:rsid w:val="00375BDC"/>
    <w:rsid w:val="003774C8"/>
    <w:rsid w:val="00383CA6"/>
    <w:rsid w:val="003866CF"/>
    <w:rsid w:val="00387838"/>
    <w:rsid w:val="00390B04"/>
    <w:rsid w:val="00394634"/>
    <w:rsid w:val="003968F6"/>
    <w:rsid w:val="003A2885"/>
    <w:rsid w:val="003A3AFF"/>
    <w:rsid w:val="003A759D"/>
    <w:rsid w:val="003A76F9"/>
    <w:rsid w:val="003B3964"/>
    <w:rsid w:val="003B39F6"/>
    <w:rsid w:val="003B4292"/>
    <w:rsid w:val="003B50D4"/>
    <w:rsid w:val="003B51E0"/>
    <w:rsid w:val="003B5D72"/>
    <w:rsid w:val="003B6767"/>
    <w:rsid w:val="003C22E5"/>
    <w:rsid w:val="003C3C25"/>
    <w:rsid w:val="003C48D0"/>
    <w:rsid w:val="003C5044"/>
    <w:rsid w:val="003C7601"/>
    <w:rsid w:val="003C7A13"/>
    <w:rsid w:val="003D0158"/>
    <w:rsid w:val="003D1D76"/>
    <w:rsid w:val="003D3136"/>
    <w:rsid w:val="003D3ABB"/>
    <w:rsid w:val="003D4ED3"/>
    <w:rsid w:val="003D508C"/>
    <w:rsid w:val="003D694B"/>
    <w:rsid w:val="003D6D6D"/>
    <w:rsid w:val="003E32BA"/>
    <w:rsid w:val="003E371C"/>
    <w:rsid w:val="003E372E"/>
    <w:rsid w:val="003F03B7"/>
    <w:rsid w:val="003F129D"/>
    <w:rsid w:val="003F28C8"/>
    <w:rsid w:val="003F448C"/>
    <w:rsid w:val="003F4A65"/>
    <w:rsid w:val="003F737D"/>
    <w:rsid w:val="00412147"/>
    <w:rsid w:val="00413E47"/>
    <w:rsid w:val="00414375"/>
    <w:rsid w:val="00417459"/>
    <w:rsid w:val="00420336"/>
    <w:rsid w:val="004235DE"/>
    <w:rsid w:val="00423F34"/>
    <w:rsid w:val="00425502"/>
    <w:rsid w:val="00426C30"/>
    <w:rsid w:val="00427589"/>
    <w:rsid w:val="0043082F"/>
    <w:rsid w:val="00431626"/>
    <w:rsid w:val="00433F7B"/>
    <w:rsid w:val="004347A3"/>
    <w:rsid w:val="004427D3"/>
    <w:rsid w:val="00444654"/>
    <w:rsid w:val="0044744D"/>
    <w:rsid w:val="00450830"/>
    <w:rsid w:val="004603E8"/>
    <w:rsid w:val="00460B60"/>
    <w:rsid w:val="00463994"/>
    <w:rsid w:val="00464413"/>
    <w:rsid w:val="00464605"/>
    <w:rsid w:val="00474530"/>
    <w:rsid w:val="00477541"/>
    <w:rsid w:val="00481961"/>
    <w:rsid w:val="004819D3"/>
    <w:rsid w:val="00481FB7"/>
    <w:rsid w:val="00485C7F"/>
    <w:rsid w:val="00486364"/>
    <w:rsid w:val="00490686"/>
    <w:rsid w:val="00494601"/>
    <w:rsid w:val="004A1AFE"/>
    <w:rsid w:val="004A262D"/>
    <w:rsid w:val="004A39A2"/>
    <w:rsid w:val="004A550E"/>
    <w:rsid w:val="004B082E"/>
    <w:rsid w:val="004B1578"/>
    <w:rsid w:val="004B3A7E"/>
    <w:rsid w:val="004B3B3D"/>
    <w:rsid w:val="004B3E13"/>
    <w:rsid w:val="004B4FDC"/>
    <w:rsid w:val="004B54BF"/>
    <w:rsid w:val="004B78B4"/>
    <w:rsid w:val="004C592F"/>
    <w:rsid w:val="004C5E30"/>
    <w:rsid w:val="004D1B96"/>
    <w:rsid w:val="004D2DB5"/>
    <w:rsid w:val="004D5547"/>
    <w:rsid w:val="004D61F2"/>
    <w:rsid w:val="004E0CD7"/>
    <w:rsid w:val="004E272F"/>
    <w:rsid w:val="004F1017"/>
    <w:rsid w:val="004F1F21"/>
    <w:rsid w:val="004F3557"/>
    <w:rsid w:val="004F58CA"/>
    <w:rsid w:val="004F5DF8"/>
    <w:rsid w:val="004F7364"/>
    <w:rsid w:val="00503074"/>
    <w:rsid w:val="005148A2"/>
    <w:rsid w:val="00520962"/>
    <w:rsid w:val="005215B4"/>
    <w:rsid w:val="005234AF"/>
    <w:rsid w:val="005261AF"/>
    <w:rsid w:val="005307BA"/>
    <w:rsid w:val="00530E6C"/>
    <w:rsid w:val="00536321"/>
    <w:rsid w:val="00541B52"/>
    <w:rsid w:val="00543100"/>
    <w:rsid w:val="00544E77"/>
    <w:rsid w:val="00546908"/>
    <w:rsid w:val="005528FD"/>
    <w:rsid w:val="00553E47"/>
    <w:rsid w:val="005551B1"/>
    <w:rsid w:val="005557BE"/>
    <w:rsid w:val="005574E6"/>
    <w:rsid w:val="00557920"/>
    <w:rsid w:val="005579AC"/>
    <w:rsid w:val="0056125F"/>
    <w:rsid w:val="0056177E"/>
    <w:rsid w:val="00563D66"/>
    <w:rsid w:val="00570528"/>
    <w:rsid w:val="00571D76"/>
    <w:rsid w:val="00573EB4"/>
    <w:rsid w:val="005759E9"/>
    <w:rsid w:val="0057656B"/>
    <w:rsid w:val="0057751B"/>
    <w:rsid w:val="005814FB"/>
    <w:rsid w:val="0058333B"/>
    <w:rsid w:val="00585207"/>
    <w:rsid w:val="005866D6"/>
    <w:rsid w:val="00590151"/>
    <w:rsid w:val="005901E8"/>
    <w:rsid w:val="00595EED"/>
    <w:rsid w:val="00595F7B"/>
    <w:rsid w:val="0059736A"/>
    <w:rsid w:val="005A30A6"/>
    <w:rsid w:val="005A3908"/>
    <w:rsid w:val="005B3254"/>
    <w:rsid w:val="005B4286"/>
    <w:rsid w:val="005C5104"/>
    <w:rsid w:val="005C598E"/>
    <w:rsid w:val="005D0CCF"/>
    <w:rsid w:val="005E13E3"/>
    <w:rsid w:val="005E2333"/>
    <w:rsid w:val="005E4E3C"/>
    <w:rsid w:val="005E7021"/>
    <w:rsid w:val="005F1F6E"/>
    <w:rsid w:val="005F3933"/>
    <w:rsid w:val="005F5E46"/>
    <w:rsid w:val="00600D50"/>
    <w:rsid w:val="00601389"/>
    <w:rsid w:val="0060695E"/>
    <w:rsid w:val="00612B01"/>
    <w:rsid w:val="006153DF"/>
    <w:rsid w:val="00624E91"/>
    <w:rsid w:val="0063550D"/>
    <w:rsid w:val="00635A79"/>
    <w:rsid w:val="00636A0B"/>
    <w:rsid w:val="00636ECB"/>
    <w:rsid w:val="006426DB"/>
    <w:rsid w:val="006449F4"/>
    <w:rsid w:val="00644A2B"/>
    <w:rsid w:val="00650840"/>
    <w:rsid w:val="00650BD6"/>
    <w:rsid w:val="00651553"/>
    <w:rsid w:val="00652B3E"/>
    <w:rsid w:val="00663AFF"/>
    <w:rsid w:val="00665F4B"/>
    <w:rsid w:val="00670C33"/>
    <w:rsid w:val="00675170"/>
    <w:rsid w:val="006773A7"/>
    <w:rsid w:val="00677BA9"/>
    <w:rsid w:val="00684801"/>
    <w:rsid w:val="00691DE8"/>
    <w:rsid w:val="00695F03"/>
    <w:rsid w:val="006B3F93"/>
    <w:rsid w:val="006B4DA0"/>
    <w:rsid w:val="006B70A0"/>
    <w:rsid w:val="006C7C53"/>
    <w:rsid w:val="006D102B"/>
    <w:rsid w:val="006D5910"/>
    <w:rsid w:val="006D6EA8"/>
    <w:rsid w:val="006E30BA"/>
    <w:rsid w:val="006E5047"/>
    <w:rsid w:val="006E5693"/>
    <w:rsid w:val="006F0E2D"/>
    <w:rsid w:val="006F33CC"/>
    <w:rsid w:val="006F3606"/>
    <w:rsid w:val="006F4FBE"/>
    <w:rsid w:val="00702DEE"/>
    <w:rsid w:val="007067C0"/>
    <w:rsid w:val="00706BDF"/>
    <w:rsid w:val="00712E95"/>
    <w:rsid w:val="00720F5B"/>
    <w:rsid w:val="0072144B"/>
    <w:rsid w:val="00725A66"/>
    <w:rsid w:val="007307EB"/>
    <w:rsid w:val="007327FA"/>
    <w:rsid w:val="00735F95"/>
    <w:rsid w:val="007457FE"/>
    <w:rsid w:val="0075040E"/>
    <w:rsid w:val="00750913"/>
    <w:rsid w:val="007533F3"/>
    <w:rsid w:val="0075796C"/>
    <w:rsid w:val="0076144F"/>
    <w:rsid w:val="00763A04"/>
    <w:rsid w:val="0076586D"/>
    <w:rsid w:val="00766165"/>
    <w:rsid w:val="00766177"/>
    <w:rsid w:val="00771EE8"/>
    <w:rsid w:val="0077228F"/>
    <w:rsid w:val="0077628C"/>
    <w:rsid w:val="00777CD4"/>
    <w:rsid w:val="00777F39"/>
    <w:rsid w:val="00782D17"/>
    <w:rsid w:val="00787151"/>
    <w:rsid w:val="00792A9D"/>
    <w:rsid w:val="0079410F"/>
    <w:rsid w:val="00794340"/>
    <w:rsid w:val="007958EC"/>
    <w:rsid w:val="0079669C"/>
    <w:rsid w:val="007A0146"/>
    <w:rsid w:val="007A4B44"/>
    <w:rsid w:val="007A6348"/>
    <w:rsid w:val="007B50E4"/>
    <w:rsid w:val="007B581D"/>
    <w:rsid w:val="007C16B4"/>
    <w:rsid w:val="007C7B3A"/>
    <w:rsid w:val="007D2625"/>
    <w:rsid w:val="007D3B16"/>
    <w:rsid w:val="007E1AA7"/>
    <w:rsid w:val="007E308B"/>
    <w:rsid w:val="007E6811"/>
    <w:rsid w:val="007F13A1"/>
    <w:rsid w:val="007F5707"/>
    <w:rsid w:val="00801CC8"/>
    <w:rsid w:val="008029EB"/>
    <w:rsid w:val="008033D9"/>
    <w:rsid w:val="0081025D"/>
    <w:rsid w:val="00817546"/>
    <w:rsid w:val="00821122"/>
    <w:rsid w:val="008218F5"/>
    <w:rsid w:val="008223CA"/>
    <w:rsid w:val="00823080"/>
    <w:rsid w:val="00830C60"/>
    <w:rsid w:val="00833F10"/>
    <w:rsid w:val="0084398D"/>
    <w:rsid w:val="00844D62"/>
    <w:rsid w:val="008513D3"/>
    <w:rsid w:val="00857486"/>
    <w:rsid w:val="00862D6C"/>
    <w:rsid w:val="00867946"/>
    <w:rsid w:val="00874D50"/>
    <w:rsid w:val="00875C14"/>
    <w:rsid w:val="00880706"/>
    <w:rsid w:val="00880B02"/>
    <w:rsid w:val="008834E4"/>
    <w:rsid w:val="008841E0"/>
    <w:rsid w:val="0088691C"/>
    <w:rsid w:val="008872C4"/>
    <w:rsid w:val="00890CBE"/>
    <w:rsid w:val="0089446E"/>
    <w:rsid w:val="00895CD6"/>
    <w:rsid w:val="008966E2"/>
    <w:rsid w:val="008A1381"/>
    <w:rsid w:val="008A3858"/>
    <w:rsid w:val="008A5804"/>
    <w:rsid w:val="008B35D9"/>
    <w:rsid w:val="008B4DF2"/>
    <w:rsid w:val="008B6394"/>
    <w:rsid w:val="008B72F6"/>
    <w:rsid w:val="008C1262"/>
    <w:rsid w:val="008C380F"/>
    <w:rsid w:val="008C3DBC"/>
    <w:rsid w:val="008C48C4"/>
    <w:rsid w:val="008C6747"/>
    <w:rsid w:val="008C7FCB"/>
    <w:rsid w:val="008D0A6D"/>
    <w:rsid w:val="008E0104"/>
    <w:rsid w:val="008E142F"/>
    <w:rsid w:val="008E22CE"/>
    <w:rsid w:val="008E2A65"/>
    <w:rsid w:val="008E2AE4"/>
    <w:rsid w:val="008E382C"/>
    <w:rsid w:val="008E52A5"/>
    <w:rsid w:val="008E560C"/>
    <w:rsid w:val="008E5A15"/>
    <w:rsid w:val="008E6875"/>
    <w:rsid w:val="008F180B"/>
    <w:rsid w:val="008F2161"/>
    <w:rsid w:val="008F2262"/>
    <w:rsid w:val="008F6E5E"/>
    <w:rsid w:val="00900653"/>
    <w:rsid w:val="00901CC7"/>
    <w:rsid w:val="00902052"/>
    <w:rsid w:val="00906D64"/>
    <w:rsid w:val="00911290"/>
    <w:rsid w:val="00915920"/>
    <w:rsid w:val="00917621"/>
    <w:rsid w:val="00920759"/>
    <w:rsid w:val="00922928"/>
    <w:rsid w:val="00923DC1"/>
    <w:rsid w:val="009264BF"/>
    <w:rsid w:val="00932B25"/>
    <w:rsid w:val="00934C0B"/>
    <w:rsid w:val="00936157"/>
    <w:rsid w:val="00936DC4"/>
    <w:rsid w:val="00940A88"/>
    <w:rsid w:val="00941A89"/>
    <w:rsid w:val="009443D4"/>
    <w:rsid w:val="009464EA"/>
    <w:rsid w:val="00946861"/>
    <w:rsid w:val="0094704D"/>
    <w:rsid w:val="00947C8C"/>
    <w:rsid w:val="00951784"/>
    <w:rsid w:val="00951CFB"/>
    <w:rsid w:val="00955431"/>
    <w:rsid w:val="00955DFF"/>
    <w:rsid w:val="009567EB"/>
    <w:rsid w:val="00961AE0"/>
    <w:rsid w:val="0096291D"/>
    <w:rsid w:val="00964506"/>
    <w:rsid w:val="009648A0"/>
    <w:rsid w:val="00964B0A"/>
    <w:rsid w:val="00965124"/>
    <w:rsid w:val="009819C3"/>
    <w:rsid w:val="009923E3"/>
    <w:rsid w:val="00994B41"/>
    <w:rsid w:val="00997860"/>
    <w:rsid w:val="009B1DE4"/>
    <w:rsid w:val="009B2657"/>
    <w:rsid w:val="009C1857"/>
    <w:rsid w:val="009D2BEC"/>
    <w:rsid w:val="009D4733"/>
    <w:rsid w:val="009D647B"/>
    <w:rsid w:val="009D78B4"/>
    <w:rsid w:val="009D7BBF"/>
    <w:rsid w:val="009E1196"/>
    <w:rsid w:val="009E7EB6"/>
    <w:rsid w:val="009F45C9"/>
    <w:rsid w:val="00A006A9"/>
    <w:rsid w:val="00A062AF"/>
    <w:rsid w:val="00A15F32"/>
    <w:rsid w:val="00A173A1"/>
    <w:rsid w:val="00A20C1B"/>
    <w:rsid w:val="00A2437B"/>
    <w:rsid w:val="00A254D9"/>
    <w:rsid w:val="00A26317"/>
    <w:rsid w:val="00A26665"/>
    <w:rsid w:val="00A30806"/>
    <w:rsid w:val="00A40FAB"/>
    <w:rsid w:val="00A437D1"/>
    <w:rsid w:val="00A43909"/>
    <w:rsid w:val="00A469C1"/>
    <w:rsid w:val="00A4778D"/>
    <w:rsid w:val="00A47EF0"/>
    <w:rsid w:val="00A47FAA"/>
    <w:rsid w:val="00A51E8D"/>
    <w:rsid w:val="00A54875"/>
    <w:rsid w:val="00A54D65"/>
    <w:rsid w:val="00A55457"/>
    <w:rsid w:val="00A56FF2"/>
    <w:rsid w:val="00A57341"/>
    <w:rsid w:val="00A57DE9"/>
    <w:rsid w:val="00A603BE"/>
    <w:rsid w:val="00A621F4"/>
    <w:rsid w:val="00A6292F"/>
    <w:rsid w:val="00A649DF"/>
    <w:rsid w:val="00A656F4"/>
    <w:rsid w:val="00A66CCD"/>
    <w:rsid w:val="00A7222A"/>
    <w:rsid w:val="00A758E2"/>
    <w:rsid w:val="00A75F1E"/>
    <w:rsid w:val="00A811BF"/>
    <w:rsid w:val="00A874D2"/>
    <w:rsid w:val="00A87611"/>
    <w:rsid w:val="00A93254"/>
    <w:rsid w:val="00A953B9"/>
    <w:rsid w:val="00A97BA8"/>
    <w:rsid w:val="00AA1351"/>
    <w:rsid w:val="00AA3EB4"/>
    <w:rsid w:val="00AA46C4"/>
    <w:rsid w:val="00AA4FFE"/>
    <w:rsid w:val="00AA645B"/>
    <w:rsid w:val="00AB1BE3"/>
    <w:rsid w:val="00AB292F"/>
    <w:rsid w:val="00AB2A0C"/>
    <w:rsid w:val="00AC4A90"/>
    <w:rsid w:val="00AC57BB"/>
    <w:rsid w:val="00AC6C47"/>
    <w:rsid w:val="00AD2C54"/>
    <w:rsid w:val="00AE1C1E"/>
    <w:rsid w:val="00AE6FE5"/>
    <w:rsid w:val="00AE7948"/>
    <w:rsid w:val="00AF1E7C"/>
    <w:rsid w:val="00AF20C4"/>
    <w:rsid w:val="00AF4C3A"/>
    <w:rsid w:val="00AF7885"/>
    <w:rsid w:val="00B005A8"/>
    <w:rsid w:val="00B0214F"/>
    <w:rsid w:val="00B02A72"/>
    <w:rsid w:val="00B05E4A"/>
    <w:rsid w:val="00B12E69"/>
    <w:rsid w:val="00B24A6D"/>
    <w:rsid w:val="00B3496A"/>
    <w:rsid w:val="00B357DE"/>
    <w:rsid w:val="00B35AB8"/>
    <w:rsid w:val="00B35E64"/>
    <w:rsid w:val="00B360C1"/>
    <w:rsid w:val="00B36454"/>
    <w:rsid w:val="00B379F2"/>
    <w:rsid w:val="00B44308"/>
    <w:rsid w:val="00B46EC8"/>
    <w:rsid w:val="00B50971"/>
    <w:rsid w:val="00B50AF8"/>
    <w:rsid w:val="00B5273C"/>
    <w:rsid w:val="00B53D58"/>
    <w:rsid w:val="00B607FA"/>
    <w:rsid w:val="00B6356D"/>
    <w:rsid w:val="00B65C8A"/>
    <w:rsid w:val="00B667D8"/>
    <w:rsid w:val="00B667E5"/>
    <w:rsid w:val="00B66F17"/>
    <w:rsid w:val="00B7455A"/>
    <w:rsid w:val="00B75111"/>
    <w:rsid w:val="00B81E0D"/>
    <w:rsid w:val="00B845A1"/>
    <w:rsid w:val="00B86A59"/>
    <w:rsid w:val="00B86BC3"/>
    <w:rsid w:val="00B94BFD"/>
    <w:rsid w:val="00BA5034"/>
    <w:rsid w:val="00BA77AD"/>
    <w:rsid w:val="00BB060A"/>
    <w:rsid w:val="00BB31A7"/>
    <w:rsid w:val="00BB5F7A"/>
    <w:rsid w:val="00BC0862"/>
    <w:rsid w:val="00BD09E0"/>
    <w:rsid w:val="00BD6C71"/>
    <w:rsid w:val="00BD6D80"/>
    <w:rsid w:val="00BE205F"/>
    <w:rsid w:val="00BE2166"/>
    <w:rsid w:val="00BF0F71"/>
    <w:rsid w:val="00BF1B30"/>
    <w:rsid w:val="00BF314C"/>
    <w:rsid w:val="00BF62F3"/>
    <w:rsid w:val="00BF7753"/>
    <w:rsid w:val="00C0105E"/>
    <w:rsid w:val="00C022A8"/>
    <w:rsid w:val="00C070F1"/>
    <w:rsid w:val="00C12372"/>
    <w:rsid w:val="00C12758"/>
    <w:rsid w:val="00C14384"/>
    <w:rsid w:val="00C1735C"/>
    <w:rsid w:val="00C24792"/>
    <w:rsid w:val="00C3324E"/>
    <w:rsid w:val="00C3339E"/>
    <w:rsid w:val="00C33722"/>
    <w:rsid w:val="00C37905"/>
    <w:rsid w:val="00C40592"/>
    <w:rsid w:val="00C43262"/>
    <w:rsid w:val="00C47A54"/>
    <w:rsid w:val="00C60288"/>
    <w:rsid w:val="00C60BDF"/>
    <w:rsid w:val="00C612D1"/>
    <w:rsid w:val="00C624C7"/>
    <w:rsid w:val="00C66867"/>
    <w:rsid w:val="00C70EB9"/>
    <w:rsid w:val="00C746D8"/>
    <w:rsid w:val="00C74C17"/>
    <w:rsid w:val="00C7718F"/>
    <w:rsid w:val="00C9372D"/>
    <w:rsid w:val="00C93B38"/>
    <w:rsid w:val="00C9664C"/>
    <w:rsid w:val="00C977D1"/>
    <w:rsid w:val="00C979B1"/>
    <w:rsid w:val="00CA55C2"/>
    <w:rsid w:val="00CB19E9"/>
    <w:rsid w:val="00CB71DC"/>
    <w:rsid w:val="00CC02BF"/>
    <w:rsid w:val="00CC2725"/>
    <w:rsid w:val="00CC546B"/>
    <w:rsid w:val="00CC7F30"/>
    <w:rsid w:val="00CD001A"/>
    <w:rsid w:val="00CD169A"/>
    <w:rsid w:val="00CD1B72"/>
    <w:rsid w:val="00CD1C95"/>
    <w:rsid w:val="00CD39C4"/>
    <w:rsid w:val="00CD44C7"/>
    <w:rsid w:val="00CD56A8"/>
    <w:rsid w:val="00CE42B7"/>
    <w:rsid w:val="00CF13F5"/>
    <w:rsid w:val="00CF4E80"/>
    <w:rsid w:val="00CF7CAF"/>
    <w:rsid w:val="00D0066D"/>
    <w:rsid w:val="00D056EB"/>
    <w:rsid w:val="00D1227E"/>
    <w:rsid w:val="00D137E9"/>
    <w:rsid w:val="00D232EF"/>
    <w:rsid w:val="00D24B47"/>
    <w:rsid w:val="00D37BD6"/>
    <w:rsid w:val="00D401C0"/>
    <w:rsid w:val="00D41857"/>
    <w:rsid w:val="00D456D3"/>
    <w:rsid w:val="00D467C3"/>
    <w:rsid w:val="00D50E15"/>
    <w:rsid w:val="00D60156"/>
    <w:rsid w:val="00D61CE6"/>
    <w:rsid w:val="00D73B8A"/>
    <w:rsid w:val="00D75D97"/>
    <w:rsid w:val="00D809A7"/>
    <w:rsid w:val="00D811D5"/>
    <w:rsid w:val="00D81D06"/>
    <w:rsid w:val="00D82253"/>
    <w:rsid w:val="00D82823"/>
    <w:rsid w:val="00D83E9E"/>
    <w:rsid w:val="00D851F4"/>
    <w:rsid w:val="00D869E7"/>
    <w:rsid w:val="00D877A9"/>
    <w:rsid w:val="00D91552"/>
    <w:rsid w:val="00D94EC0"/>
    <w:rsid w:val="00D95572"/>
    <w:rsid w:val="00D962C4"/>
    <w:rsid w:val="00D962FB"/>
    <w:rsid w:val="00D97DAC"/>
    <w:rsid w:val="00DA28F5"/>
    <w:rsid w:val="00DA302A"/>
    <w:rsid w:val="00DA73EB"/>
    <w:rsid w:val="00DB210F"/>
    <w:rsid w:val="00DB28FD"/>
    <w:rsid w:val="00DB290B"/>
    <w:rsid w:val="00DB6C18"/>
    <w:rsid w:val="00DB79E6"/>
    <w:rsid w:val="00DB7A13"/>
    <w:rsid w:val="00DC0A15"/>
    <w:rsid w:val="00DC144F"/>
    <w:rsid w:val="00DC4D06"/>
    <w:rsid w:val="00DC78A8"/>
    <w:rsid w:val="00DD230C"/>
    <w:rsid w:val="00DD26FF"/>
    <w:rsid w:val="00DD2B93"/>
    <w:rsid w:val="00DD4267"/>
    <w:rsid w:val="00DD6B58"/>
    <w:rsid w:val="00DE136E"/>
    <w:rsid w:val="00DF1C6B"/>
    <w:rsid w:val="00DF68EE"/>
    <w:rsid w:val="00E00529"/>
    <w:rsid w:val="00E01A3F"/>
    <w:rsid w:val="00E01C83"/>
    <w:rsid w:val="00E02C2B"/>
    <w:rsid w:val="00E04360"/>
    <w:rsid w:val="00E045E2"/>
    <w:rsid w:val="00E05320"/>
    <w:rsid w:val="00E167FE"/>
    <w:rsid w:val="00E1708E"/>
    <w:rsid w:val="00E21088"/>
    <w:rsid w:val="00E21CB0"/>
    <w:rsid w:val="00E24259"/>
    <w:rsid w:val="00E26BBB"/>
    <w:rsid w:val="00E30CBD"/>
    <w:rsid w:val="00E3172E"/>
    <w:rsid w:val="00E35DBF"/>
    <w:rsid w:val="00E37875"/>
    <w:rsid w:val="00E37C4A"/>
    <w:rsid w:val="00E37E62"/>
    <w:rsid w:val="00E37EE9"/>
    <w:rsid w:val="00E41CB5"/>
    <w:rsid w:val="00E47477"/>
    <w:rsid w:val="00E524C5"/>
    <w:rsid w:val="00E537CA"/>
    <w:rsid w:val="00E561DA"/>
    <w:rsid w:val="00E601B5"/>
    <w:rsid w:val="00E663C6"/>
    <w:rsid w:val="00E66A6F"/>
    <w:rsid w:val="00E66D94"/>
    <w:rsid w:val="00E70E02"/>
    <w:rsid w:val="00E72EFA"/>
    <w:rsid w:val="00E73E92"/>
    <w:rsid w:val="00E7466F"/>
    <w:rsid w:val="00E75A3D"/>
    <w:rsid w:val="00E76FF2"/>
    <w:rsid w:val="00E834EB"/>
    <w:rsid w:val="00E85272"/>
    <w:rsid w:val="00E90C23"/>
    <w:rsid w:val="00E916BD"/>
    <w:rsid w:val="00E9451D"/>
    <w:rsid w:val="00E962B6"/>
    <w:rsid w:val="00E96EA4"/>
    <w:rsid w:val="00EA542A"/>
    <w:rsid w:val="00EA6CAE"/>
    <w:rsid w:val="00EB2431"/>
    <w:rsid w:val="00EB4455"/>
    <w:rsid w:val="00EB4B2F"/>
    <w:rsid w:val="00EC0CB5"/>
    <w:rsid w:val="00EC14B2"/>
    <w:rsid w:val="00EC2639"/>
    <w:rsid w:val="00EC3933"/>
    <w:rsid w:val="00EC4BFC"/>
    <w:rsid w:val="00ED2253"/>
    <w:rsid w:val="00ED4A6B"/>
    <w:rsid w:val="00ED4EDC"/>
    <w:rsid w:val="00ED6972"/>
    <w:rsid w:val="00EE05DA"/>
    <w:rsid w:val="00EE0AB2"/>
    <w:rsid w:val="00EE649C"/>
    <w:rsid w:val="00EE6A93"/>
    <w:rsid w:val="00EE6F65"/>
    <w:rsid w:val="00EF0513"/>
    <w:rsid w:val="00EF2473"/>
    <w:rsid w:val="00EF529A"/>
    <w:rsid w:val="00EF5909"/>
    <w:rsid w:val="00EF5993"/>
    <w:rsid w:val="00EF701F"/>
    <w:rsid w:val="00F010E9"/>
    <w:rsid w:val="00F0238B"/>
    <w:rsid w:val="00F02D8D"/>
    <w:rsid w:val="00F0360E"/>
    <w:rsid w:val="00F03BED"/>
    <w:rsid w:val="00F066CC"/>
    <w:rsid w:val="00F0727D"/>
    <w:rsid w:val="00F15BA0"/>
    <w:rsid w:val="00F15CEE"/>
    <w:rsid w:val="00F22CD0"/>
    <w:rsid w:val="00F24D3B"/>
    <w:rsid w:val="00F2678E"/>
    <w:rsid w:val="00F26CEE"/>
    <w:rsid w:val="00F26E5A"/>
    <w:rsid w:val="00F30545"/>
    <w:rsid w:val="00F37BB8"/>
    <w:rsid w:val="00F42BAD"/>
    <w:rsid w:val="00F44627"/>
    <w:rsid w:val="00F459CC"/>
    <w:rsid w:val="00F45BD7"/>
    <w:rsid w:val="00F50859"/>
    <w:rsid w:val="00F51AB1"/>
    <w:rsid w:val="00F5387D"/>
    <w:rsid w:val="00F550AA"/>
    <w:rsid w:val="00F564A2"/>
    <w:rsid w:val="00F60128"/>
    <w:rsid w:val="00F63B97"/>
    <w:rsid w:val="00F63EE9"/>
    <w:rsid w:val="00F65013"/>
    <w:rsid w:val="00F65A00"/>
    <w:rsid w:val="00F67418"/>
    <w:rsid w:val="00F67DF7"/>
    <w:rsid w:val="00F727E1"/>
    <w:rsid w:val="00F751AC"/>
    <w:rsid w:val="00F80BE4"/>
    <w:rsid w:val="00F83434"/>
    <w:rsid w:val="00F85D22"/>
    <w:rsid w:val="00F86C0A"/>
    <w:rsid w:val="00F92AB7"/>
    <w:rsid w:val="00F95800"/>
    <w:rsid w:val="00F95D55"/>
    <w:rsid w:val="00F97B0E"/>
    <w:rsid w:val="00FA243C"/>
    <w:rsid w:val="00FA37D7"/>
    <w:rsid w:val="00FA3B35"/>
    <w:rsid w:val="00FA5D7B"/>
    <w:rsid w:val="00FB599B"/>
    <w:rsid w:val="00FB59A1"/>
    <w:rsid w:val="00FB6355"/>
    <w:rsid w:val="00FB681C"/>
    <w:rsid w:val="00FB7A60"/>
    <w:rsid w:val="00FC0536"/>
    <w:rsid w:val="00FC14A6"/>
    <w:rsid w:val="00FC153E"/>
    <w:rsid w:val="00FC24AA"/>
    <w:rsid w:val="00FD5EF4"/>
    <w:rsid w:val="00FE139D"/>
    <w:rsid w:val="00FE2962"/>
    <w:rsid w:val="00FE57BE"/>
    <w:rsid w:val="00FE5F39"/>
    <w:rsid w:val="00FF214D"/>
    <w:rsid w:val="00FF349A"/>
    <w:rsid w:val="00FF5192"/>
    <w:rsid w:val="00FF657E"/>
    <w:rsid w:val="00FF6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46"/>
  </w:style>
  <w:style w:type="paragraph" w:styleId="1">
    <w:name w:val="heading 1"/>
    <w:basedOn w:val="a"/>
    <w:next w:val="a"/>
    <w:link w:val="10"/>
    <w:uiPriority w:val="9"/>
    <w:qFormat/>
    <w:rsid w:val="00D73B8A"/>
    <w:pPr>
      <w:keepNext/>
      <w:keepLines/>
      <w:spacing w:before="480" w:after="0"/>
      <w:jc w:val="both"/>
      <w:outlineLvl w:val="0"/>
    </w:pPr>
    <w:rPr>
      <w:rFonts w:ascii="Times New Roman" w:eastAsiaTheme="majorEastAsia" w:hAnsi="Times New Roman" w:cstheme="majorBidi"/>
      <w:b/>
      <w:bCs/>
      <w:caps/>
      <w:sz w:val="28"/>
      <w:szCs w:val="28"/>
    </w:rPr>
  </w:style>
  <w:style w:type="paragraph" w:styleId="2">
    <w:name w:val="heading 2"/>
    <w:basedOn w:val="a"/>
    <w:next w:val="a"/>
    <w:link w:val="20"/>
    <w:uiPriority w:val="9"/>
    <w:unhideWhenUsed/>
    <w:qFormat/>
    <w:rsid w:val="00D73B8A"/>
    <w:pPr>
      <w:keepNext/>
      <w:keepLines/>
      <w:spacing w:before="200" w:after="0"/>
      <w:jc w:val="both"/>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940A88"/>
    <w:pPr>
      <w:keepNext/>
      <w:keepLines/>
      <w:spacing w:before="200" w:after="0"/>
      <w:jc w:val="both"/>
      <w:outlineLvl w:val="2"/>
    </w:pPr>
    <w:rPr>
      <w:rFonts w:ascii="Times New Roman" w:eastAsiaTheme="majorEastAsia" w:hAnsi="Times New Roman" w:cstheme="majorBidi"/>
      <w:b/>
      <w:bCs/>
      <w:i/>
      <w:sz w:val="28"/>
    </w:rPr>
  </w:style>
  <w:style w:type="paragraph" w:styleId="4">
    <w:name w:val="heading 4"/>
    <w:basedOn w:val="a"/>
    <w:next w:val="a"/>
    <w:link w:val="40"/>
    <w:uiPriority w:val="9"/>
    <w:unhideWhenUsed/>
    <w:qFormat/>
    <w:rsid w:val="00940A88"/>
    <w:pPr>
      <w:keepNext/>
      <w:keepLines/>
      <w:spacing w:before="200" w:after="0"/>
      <w:jc w:val="both"/>
      <w:outlineLvl w:val="3"/>
    </w:pPr>
    <w:rPr>
      <w:rFonts w:ascii="Times New Roman" w:eastAsiaTheme="majorEastAsia" w:hAnsi="Times New Roman" w:cstheme="majorBidi"/>
      <w:bCs/>
      <w:i/>
      <w:iCs/>
      <w:sz w:val="28"/>
    </w:rPr>
  </w:style>
  <w:style w:type="paragraph" w:styleId="6">
    <w:name w:val="heading 6"/>
    <w:basedOn w:val="a"/>
    <w:next w:val="a"/>
    <w:link w:val="60"/>
    <w:qFormat/>
    <w:rsid w:val="00C9664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EB4"/>
    <w:pPr>
      <w:ind w:left="720"/>
      <w:contextualSpacing/>
    </w:pPr>
  </w:style>
  <w:style w:type="paragraph" w:styleId="a4">
    <w:name w:val="endnote text"/>
    <w:basedOn w:val="a"/>
    <w:link w:val="a5"/>
    <w:uiPriority w:val="99"/>
    <w:semiHidden/>
    <w:unhideWhenUsed/>
    <w:rsid w:val="00D851F4"/>
    <w:pPr>
      <w:spacing w:after="0" w:line="240" w:lineRule="auto"/>
    </w:pPr>
    <w:rPr>
      <w:sz w:val="20"/>
      <w:szCs w:val="20"/>
    </w:rPr>
  </w:style>
  <w:style w:type="character" w:customStyle="1" w:styleId="a5">
    <w:name w:val="Текст концевой сноски Знак"/>
    <w:basedOn w:val="a0"/>
    <w:link w:val="a4"/>
    <w:uiPriority w:val="99"/>
    <w:semiHidden/>
    <w:rsid w:val="00D851F4"/>
    <w:rPr>
      <w:sz w:val="20"/>
      <w:szCs w:val="20"/>
    </w:rPr>
  </w:style>
  <w:style w:type="character" w:styleId="a6">
    <w:name w:val="endnote reference"/>
    <w:basedOn w:val="a0"/>
    <w:uiPriority w:val="99"/>
    <w:semiHidden/>
    <w:unhideWhenUsed/>
    <w:rsid w:val="00D851F4"/>
    <w:rPr>
      <w:vertAlign w:val="superscript"/>
    </w:rPr>
  </w:style>
  <w:style w:type="paragraph" w:styleId="a7">
    <w:name w:val="footnote text"/>
    <w:basedOn w:val="a"/>
    <w:link w:val="a8"/>
    <w:uiPriority w:val="99"/>
    <w:unhideWhenUsed/>
    <w:rsid w:val="003E372E"/>
    <w:pPr>
      <w:spacing w:after="0" w:line="240" w:lineRule="auto"/>
    </w:pPr>
    <w:rPr>
      <w:sz w:val="20"/>
      <w:szCs w:val="20"/>
    </w:rPr>
  </w:style>
  <w:style w:type="character" w:customStyle="1" w:styleId="a8">
    <w:name w:val="Текст сноски Знак"/>
    <w:basedOn w:val="a0"/>
    <w:link w:val="a7"/>
    <w:uiPriority w:val="99"/>
    <w:rsid w:val="003E372E"/>
    <w:rPr>
      <w:sz w:val="20"/>
      <w:szCs w:val="20"/>
    </w:rPr>
  </w:style>
  <w:style w:type="character" w:styleId="a9">
    <w:name w:val="footnote reference"/>
    <w:basedOn w:val="a0"/>
    <w:uiPriority w:val="99"/>
    <w:semiHidden/>
    <w:unhideWhenUsed/>
    <w:rsid w:val="003E372E"/>
    <w:rPr>
      <w:vertAlign w:val="superscript"/>
    </w:rPr>
  </w:style>
  <w:style w:type="character" w:styleId="aa">
    <w:name w:val="Hyperlink"/>
    <w:basedOn w:val="a0"/>
    <w:uiPriority w:val="99"/>
    <w:unhideWhenUsed/>
    <w:rsid w:val="00B81E0D"/>
    <w:rPr>
      <w:color w:val="0000FF" w:themeColor="hyperlink"/>
      <w:u w:val="single"/>
    </w:rPr>
  </w:style>
  <w:style w:type="character" w:styleId="ab">
    <w:name w:val="FollowedHyperlink"/>
    <w:basedOn w:val="a0"/>
    <w:uiPriority w:val="99"/>
    <w:semiHidden/>
    <w:unhideWhenUsed/>
    <w:rsid w:val="00B81E0D"/>
    <w:rPr>
      <w:color w:val="800080" w:themeColor="followedHyperlink"/>
      <w:u w:val="single"/>
    </w:rPr>
  </w:style>
  <w:style w:type="character" w:customStyle="1" w:styleId="10">
    <w:name w:val="Заголовок 1 Знак"/>
    <w:basedOn w:val="a0"/>
    <w:link w:val="1"/>
    <w:uiPriority w:val="9"/>
    <w:rsid w:val="00D73B8A"/>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D73B8A"/>
    <w:rPr>
      <w:rFonts w:ascii="Times New Roman" w:eastAsiaTheme="majorEastAsia" w:hAnsi="Times New Roman" w:cstheme="majorBidi"/>
      <w:b/>
      <w:bCs/>
      <w:sz w:val="28"/>
      <w:szCs w:val="26"/>
    </w:rPr>
  </w:style>
  <w:style w:type="paragraph" w:styleId="ac">
    <w:name w:val="Title"/>
    <w:basedOn w:val="a"/>
    <w:next w:val="a"/>
    <w:link w:val="ad"/>
    <w:uiPriority w:val="10"/>
    <w:qFormat/>
    <w:rsid w:val="00763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763A04"/>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763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763A04"/>
    <w:rPr>
      <w:rFonts w:asciiTheme="majorHAnsi" w:eastAsiaTheme="majorEastAsia" w:hAnsiTheme="majorHAnsi" w:cstheme="majorBidi"/>
      <w:i/>
      <w:iCs/>
      <w:color w:val="4F81BD" w:themeColor="accent1"/>
      <w:spacing w:val="15"/>
      <w:sz w:val="24"/>
      <w:szCs w:val="24"/>
    </w:rPr>
  </w:style>
  <w:style w:type="character" w:styleId="af0">
    <w:name w:val="Subtle Emphasis"/>
    <w:basedOn w:val="a0"/>
    <w:uiPriority w:val="19"/>
    <w:qFormat/>
    <w:rsid w:val="00763A04"/>
    <w:rPr>
      <w:i/>
      <w:iCs/>
      <w:color w:val="808080" w:themeColor="text1" w:themeTint="7F"/>
    </w:rPr>
  </w:style>
  <w:style w:type="character" w:styleId="af1">
    <w:name w:val="Intense Emphasis"/>
    <w:basedOn w:val="a0"/>
    <w:uiPriority w:val="21"/>
    <w:qFormat/>
    <w:rsid w:val="00763A04"/>
    <w:rPr>
      <w:b/>
      <w:bCs/>
      <w:i/>
      <w:iCs/>
      <w:color w:val="4F81BD" w:themeColor="accent1"/>
    </w:rPr>
  </w:style>
  <w:style w:type="paragraph" w:styleId="21">
    <w:name w:val="Quote"/>
    <w:basedOn w:val="a"/>
    <w:next w:val="a"/>
    <w:link w:val="22"/>
    <w:uiPriority w:val="29"/>
    <w:qFormat/>
    <w:rsid w:val="00763A04"/>
    <w:rPr>
      <w:i/>
      <w:iCs/>
      <w:color w:val="000000" w:themeColor="text1"/>
    </w:rPr>
  </w:style>
  <w:style w:type="character" w:customStyle="1" w:styleId="22">
    <w:name w:val="Цитата 2 Знак"/>
    <w:basedOn w:val="a0"/>
    <w:link w:val="21"/>
    <w:uiPriority w:val="29"/>
    <w:rsid w:val="00763A04"/>
    <w:rPr>
      <w:i/>
      <w:iCs/>
      <w:color w:val="000000" w:themeColor="text1"/>
    </w:rPr>
  </w:style>
  <w:style w:type="paragraph" w:styleId="af2">
    <w:name w:val="TOC Heading"/>
    <w:basedOn w:val="1"/>
    <w:next w:val="a"/>
    <w:uiPriority w:val="39"/>
    <w:unhideWhenUsed/>
    <w:qFormat/>
    <w:rsid w:val="008218F5"/>
    <w:pPr>
      <w:outlineLvl w:val="9"/>
    </w:pPr>
    <w:rPr>
      <w:lang w:eastAsia="ru-RU"/>
    </w:rPr>
  </w:style>
  <w:style w:type="paragraph" w:styleId="11">
    <w:name w:val="toc 1"/>
    <w:basedOn w:val="a"/>
    <w:next w:val="a"/>
    <w:autoRedefine/>
    <w:uiPriority w:val="39"/>
    <w:unhideWhenUsed/>
    <w:qFormat/>
    <w:rsid w:val="008218F5"/>
    <w:pPr>
      <w:spacing w:after="100"/>
    </w:pPr>
  </w:style>
  <w:style w:type="paragraph" w:styleId="23">
    <w:name w:val="toc 2"/>
    <w:basedOn w:val="a"/>
    <w:next w:val="a"/>
    <w:autoRedefine/>
    <w:uiPriority w:val="39"/>
    <w:unhideWhenUsed/>
    <w:qFormat/>
    <w:rsid w:val="000160C5"/>
    <w:pPr>
      <w:tabs>
        <w:tab w:val="right" w:leader="dot" w:pos="9345"/>
      </w:tabs>
      <w:spacing w:after="100"/>
    </w:pPr>
  </w:style>
  <w:style w:type="paragraph" w:styleId="af3">
    <w:name w:val="Balloon Text"/>
    <w:basedOn w:val="a"/>
    <w:link w:val="af4"/>
    <w:uiPriority w:val="99"/>
    <w:semiHidden/>
    <w:unhideWhenUsed/>
    <w:rsid w:val="008218F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218F5"/>
    <w:rPr>
      <w:rFonts w:ascii="Tahoma" w:hAnsi="Tahoma" w:cs="Tahoma"/>
      <w:sz w:val="16"/>
      <w:szCs w:val="16"/>
    </w:rPr>
  </w:style>
  <w:style w:type="paragraph" w:styleId="31">
    <w:name w:val="toc 3"/>
    <w:basedOn w:val="a"/>
    <w:next w:val="a"/>
    <w:autoRedefine/>
    <w:uiPriority w:val="39"/>
    <w:unhideWhenUsed/>
    <w:qFormat/>
    <w:rsid w:val="008218F5"/>
    <w:pPr>
      <w:spacing w:after="100"/>
      <w:ind w:left="440"/>
    </w:pPr>
    <w:rPr>
      <w:rFonts w:eastAsiaTheme="minorEastAsia"/>
      <w:lang w:eastAsia="ru-RU"/>
    </w:rPr>
  </w:style>
  <w:style w:type="paragraph" w:customStyle="1" w:styleId="TNR14">
    <w:name w:val="TNR 14"/>
    <w:aliases w:val="по ширине,1,5"/>
    <w:basedOn w:val="a"/>
    <w:qFormat/>
    <w:rsid w:val="00600D50"/>
    <w:pPr>
      <w:spacing w:after="0" w:line="360" w:lineRule="auto"/>
      <w:ind w:firstLine="709"/>
      <w:jc w:val="both"/>
    </w:pPr>
    <w:rPr>
      <w:rFonts w:ascii="Times New Roman" w:hAnsi="Times New Roman"/>
      <w:sz w:val="28"/>
      <w:lang w:val="en-US"/>
    </w:rPr>
  </w:style>
  <w:style w:type="character" w:customStyle="1" w:styleId="30">
    <w:name w:val="Заголовок 3 Знак"/>
    <w:basedOn w:val="a0"/>
    <w:link w:val="3"/>
    <w:uiPriority w:val="9"/>
    <w:rsid w:val="00940A88"/>
    <w:rPr>
      <w:rFonts w:ascii="Times New Roman" w:eastAsiaTheme="majorEastAsia" w:hAnsi="Times New Roman" w:cstheme="majorBidi"/>
      <w:b/>
      <w:bCs/>
      <w:i/>
      <w:sz w:val="28"/>
    </w:rPr>
  </w:style>
  <w:style w:type="character" w:customStyle="1" w:styleId="40">
    <w:name w:val="Заголовок 4 Знак"/>
    <w:basedOn w:val="a0"/>
    <w:link w:val="4"/>
    <w:uiPriority w:val="9"/>
    <w:rsid w:val="00940A88"/>
    <w:rPr>
      <w:rFonts w:ascii="Times New Roman" w:eastAsiaTheme="majorEastAsia" w:hAnsi="Times New Roman" w:cstheme="majorBidi"/>
      <w:bCs/>
      <w:i/>
      <w:iCs/>
      <w:sz w:val="28"/>
    </w:rPr>
  </w:style>
  <w:style w:type="paragraph" w:styleId="41">
    <w:name w:val="toc 4"/>
    <w:basedOn w:val="a"/>
    <w:next w:val="a"/>
    <w:autoRedefine/>
    <w:uiPriority w:val="39"/>
    <w:unhideWhenUsed/>
    <w:rsid w:val="00AE1C1E"/>
    <w:pPr>
      <w:spacing w:after="100"/>
      <w:ind w:left="660"/>
    </w:pPr>
  </w:style>
  <w:style w:type="table" w:styleId="af5">
    <w:name w:val="Table Grid"/>
    <w:basedOn w:val="a1"/>
    <w:uiPriority w:val="59"/>
    <w:rsid w:val="00636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573EB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73EB4"/>
  </w:style>
  <w:style w:type="paragraph" w:styleId="af8">
    <w:name w:val="footer"/>
    <w:basedOn w:val="a"/>
    <w:link w:val="af9"/>
    <w:uiPriority w:val="99"/>
    <w:unhideWhenUsed/>
    <w:rsid w:val="00573EB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73EB4"/>
  </w:style>
  <w:style w:type="character" w:customStyle="1" w:styleId="60">
    <w:name w:val="Заголовок 6 Знак"/>
    <w:basedOn w:val="a0"/>
    <w:link w:val="6"/>
    <w:rsid w:val="00C9664C"/>
    <w:rPr>
      <w:rFonts w:ascii="Times New Roman" w:eastAsia="Times New Roman" w:hAnsi="Times New Roman" w:cs="Times New Roman"/>
      <w:b/>
      <w:bCs/>
      <w:lang w:eastAsia="ru-RU"/>
    </w:rPr>
  </w:style>
  <w:style w:type="paragraph" w:customStyle="1" w:styleId="FR1">
    <w:name w:val="FR1"/>
    <w:rsid w:val="00C9664C"/>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4">
    <w:name w:val="Body Text 2"/>
    <w:basedOn w:val="a"/>
    <w:link w:val="25"/>
    <w:rsid w:val="00C9664C"/>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5">
    <w:name w:val="Основной текст 2 Знак"/>
    <w:basedOn w:val="a0"/>
    <w:link w:val="24"/>
    <w:rsid w:val="00C9664C"/>
    <w:rPr>
      <w:rFonts w:ascii="Times New Roman" w:eastAsia="Times New Roman" w:hAnsi="Times New Roman" w:cs="Times New Roman"/>
      <w:sz w:val="24"/>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3B8A"/>
    <w:pPr>
      <w:keepNext/>
      <w:keepLines/>
      <w:spacing w:before="480" w:after="0"/>
      <w:jc w:val="both"/>
      <w:outlineLvl w:val="0"/>
    </w:pPr>
    <w:rPr>
      <w:rFonts w:ascii="Times New Roman" w:eastAsiaTheme="majorEastAsia" w:hAnsi="Times New Roman" w:cstheme="majorBidi"/>
      <w:b/>
      <w:bCs/>
      <w:caps/>
      <w:sz w:val="28"/>
      <w:szCs w:val="28"/>
    </w:rPr>
  </w:style>
  <w:style w:type="paragraph" w:styleId="2">
    <w:name w:val="heading 2"/>
    <w:basedOn w:val="a"/>
    <w:next w:val="a"/>
    <w:link w:val="20"/>
    <w:uiPriority w:val="9"/>
    <w:unhideWhenUsed/>
    <w:qFormat/>
    <w:rsid w:val="00D73B8A"/>
    <w:pPr>
      <w:keepNext/>
      <w:keepLines/>
      <w:spacing w:before="200" w:after="0"/>
      <w:jc w:val="both"/>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940A88"/>
    <w:pPr>
      <w:keepNext/>
      <w:keepLines/>
      <w:spacing w:before="200" w:after="0"/>
      <w:jc w:val="both"/>
      <w:outlineLvl w:val="2"/>
    </w:pPr>
    <w:rPr>
      <w:rFonts w:ascii="Times New Roman" w:eastAsiaTheme="majorEastAsia" w:hAnsi="Times New Roman" w:cstheme="majorBidi"/>
      <w:b/>
      <w:bCs/>
      <w:i/>
      <w:sz w:val="28"/>
    </w:rPr>
  </w:style>
  <w:style w:type="paragraph" w:styleId="4">
    <w:name w:val="heading 4"/>
    <w:basedOn w:val="a"/>
    <w:next w:val="a"/>
    <w:link w:val="40"/>
    <w:uiPriority w:val="9"/>
    <w:unhideWhenUsed/>
    <w:qFormat/>
    <w:rsid w:val="00940A88"/>
    <w:pPr>
      <w:keepNext/>
      <w:keepLines/>
      <w:spacing w:before="200" w:after="0"/>
      <w:jc w:val="both"/>
      <w:outlineLvl w:val="3"/>
    </w:pPr>
    <w:rPr>
      <w:rFonts w:ascii="Times New Roman" w:eastAsiaTheme="majorEastAsia" w:hAnsi="Times New Roman" w:cstheme="majorBidi"/>
      <w:bCs/>
      <w:i/>
      <w:iCs/>
      <w:sz w:val="28"/>
    </w:rPr>
  </w:style>
  <w:style w:type="paragraph" w:styleId="6">
    <w:name w:val="heading 6"/>
    <w:basedOn w:val="a"/>
    <w:next w:val="a"/>
    <w:link w:val="60"/>
    <w:qFormat/>
    <w:rsid w:val="00C9664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EB4"/>
    <w:pPr>
      <w:ind w:left="720"/>
      <w:contextualSpacing/>
    </w:pPr>
  </w:style>
  <w:style w:type="paragraph" w:styleId="a4">
    <w:name w:val="endnote text"/>
    <w:basedOn w:val="a"/>
    <w:link w:val="a5"/>
    <w:uiPriority w:val="99"/>
    <w:semiHidden/>
    <w:unhideWhenUsed/>
    <w:rsid w:val="00D851F4"/>
    <w:pPr>
      <w:spacing w:after="0" w:line="240" w:lineRule="auto"/>
    </w:pPr>
    <w:rPr>
      <w:sz w:val="20"/>
      <w:szCs w:val="20"/>
    </w:rPr>
  </w:style>
  <w:style w:type="character" w:customStyle="1" w:styleId="a5">
    <w:name w:val="Текст концевой сноски Знак"/>
    <w:basedOn w:val="a0"/>
    <w:link w:val="a4"/>
    <w:uiPriority w:val="99"/>
    <w:semiHidden/>
    <w:rsid w:val="00D851F4"/>
    <w:rPr>
      <w:sz w:val="20"/>
      <w:szCs w:val="20"/>
    </w:rPr>
  </w:style>
  <w:style w:type="character" w:styleId="a6">
    <w:name w:val="endnote reference"/>
    <w:basedOn w:val="a0"/>
    <w:uiPriority w:val="99"/>
    <w:semiHidden/>
    <w:unhideWhenUsed/>
    <w:rsid w:val="00D851F4"/>
    <w:rPr>
      <w:vertAlign w:val="superscript"/>
    </w:rPr>
  </w:style>
  <w:style w:type="paragraph" w:styleId="a7">
    <w:name w:val="footnote text"/>
    <w:basedOn w:val="a"/>
    <w:link w:val="a8"/>
    <w:uiPriority w:val="99"/>
    <w:unhideWhenUsed/>
    <w:rsid w:val="003E372E"/>
    <w:pPr>
      <w:spacing w:after="0" w:line="240" w:lineRule="auto"/>
    </w:pPr>
    <w:rPr>
      <w:sz w:val="20"/>
      <w:szCs w:val="20"/>
    </w:rPr>
  </w:style>
  <w:style w:type="character" w:customStyle="1" w:styleId="a8">
    <w:name w:val="Текст сноски Знак"/>
    <w:basedOn w:val="a0"/>
    <w:link w:val="a7"/>
    <w:uiPriority w:val="99"/>
    <w:rsid w:val="003E372E"/>
    <w:rPr>
      <w:sz w:val="20"/>
      <w:szCs w:val="20"/>
    </w:rPr>
  </w:style>
  <w:style w:type="character" w:styleId="a9">
    <w:name w:val="footnote reference"/>
    <w:basedOn w:val="a0"/>
    <w:uiPriority w:val="99"/>
    <w:semiHidden/>
    <w:unhideWhenUsed/>
    <w:rsid w:val="003E372E"/>
    <w:rPr>
      <w:vertAlign w:val="superscript"/>
    </w:rPr>
  </w:style>
  <w:style w:type="character" w:styleId="aa">
    <w:name w:val="Hyperlink"/>
    <w:basedOn w:val="a0"/>
    <w:uiPriority w:val="99"/>
    <w:unhideWhenUsed/>
    <w:rsid w:val="00B81E0D"/>
    <w:rPr>
      <w:color w:val="0000FF" w:themeColor="hyperlink"/>
      <w:u w:val="single"/>
    </w:rPr>
  </w:style>
  <w:style w:type="character" w:styleId="ab">
    <w:name w:val="FollowedHyperlink"/>
    <w:basedOn w:val="a0"/>
    <w:uiPriority w:val="99"/>
    <w:semiHidden/>
    <w:unhideWhenUsed/>
    <w:rsid w:val="00B81E0D"/>
    <w:rPr>
      <w:color w:val="800080" w:themeColor="followedHyperlink"/>
      <w:u w:val="single"/>
    </w:rPr>
  </w:style>
  <w:style w:type="character" w:customStyle="1" w:styleId="10">
    <w:name w:val="Заголовок 1 Знак"/>
    <w:basedOn w:val="a0"/>
    <w:link w:val="1"/>
    <w:uiPriority w:val="9"/>
    <w:rsid w:val="00D73B8A"/>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D73B8A"/>
    <w:rPr>
      <w:rFonts w:ascii="Times New Roman" w:eastAsiaTheme="majorEastAsia" w:hAnsi="Times New Roman" w:cstheme="majorBidi"/>
      <w:b/>
      <w:bCs/>
      <w:sz w:val="28"/>
      <w:szCs w:val="26"/>
    </w:rPr>
  </w:style>
  <w:style w:type="paragraph" w:styleId="ac">
    <w:name w:val="Title"/>
    <w:basedOn w:val="a"/>
    <w:next w:val="a"/>
    <w:link w:val="ad"/>
    <w:uiPriority w:val="10"/>
    <w:qFormat/>
    <w:rsid w:val="00763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763A04"/>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763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763A04"/>
    <w:rPr>
      <w:rFonts w:asciiTheme="majorHAnsi" w:eastAsiaTheme="majorEastAsia" w:hAnsiTheme="majorHAnsi" w:cstheme="majorBidi"/>
      <w:i/>
      <w:iCs/>
      <w:color w:val="4F81BD" w:themeColor="accent1"/>
      <w:spacing w:val="15"/>
      <w:sz w:val="24"/>
      <w:szCs w:val="24"/>
    </w:rPr>
  </w:style>
  <w:style w:type="character" w:styleId="af0">
    <w:name w:val="Subtle Emphasis"/>
    <w:basedOn w:val="a0"/>
    <w:uiPriority w:val="19"/>
    <w:qFormat/>
    <w:rsid w:val="00763A04"/>
    <w:rPr>
      <w:i/>
      <w:iCs/>
      <w:color w:val="808080" w:themeColor="text1" w:themeTint="7F"/>
    </w:rPr>
  </w:style>
  <w:style w:type="character" w:styleId="af1">
    <w:name w:val="Intense Emphasis"/>
    <w:basedOn w:val="a0"/>
    <w:uiPriority w:val="21"/>
    <w:qFormat/>
    <w:rsid w:val="00763A04"/>
    <w:rPr>
      <w:b/>
      <w:bCs/>
      <w:i/>
      <w:iCs/>
      <w:color w:val="4F81BD" w:themeColor="accent1"/>
    </w:rPr>
  </w:style>
  <w:style w:type="paragraph" w:styleId="21">
    <w:name w:val="Quote"/>
    <w:basedOn w:val="a"/>
    <w:next w:val="a"/>
    <w:link w:val="22"/>
    <w:uiPriority w:val="29"/>
    <w:qFormat/>
    <w:rsid w:val="00763A04"/>
    <w:rPr>
      <w:i/>
      <w:iCs/>
      <w:color w:val="000000" w:themeColor="text1"/>
    </w:rPr>
  </w:style>
  <w:style w:type="character" w:customStyle="1" w:styleId="22">
    <w:name w:val="Цитата 2 Знак"/>
    <w:basedOn w:val="a0"/>
    <w:link w:val="21"/>
    <w:uiPriority w:val="29"/>
    <w:rsid w:val="00763A04"/>
    <w:rPr>
      <w:i/>
      <w:iCs/>
      <w:color w:val="000000" w:themeColor="text1"/>
    </w:rPr>
  </w:style>
  <w:style w:type="paragraph" w:styleId="af2">
    <w:name w:val="TOC Heading"/>
    <w:basedOn w:val="1"/>
    <w:next w:val="a"/>
    <w:uiPriority w:val="39"/>
    <w:unhideWhenUsed/>
    <w:qFormat/>
    <w:rsid w:val="008218F5"/>
    <w:pPr>
      <w:outlineLvl w:val="9"/>
    </w:pPr>
    <w:rPr>
      <w:lang w:eastAsia="ru-RU"/>
    </w:rPr>
  </w:style>
  <w:style w:type="paragraph" w:styleId="11">
    <w:name w:val="toc 1"/>
    <w:basedOn w:val="a"/>
    <w:next w:val="a"/>
    <w:autoRedefine/>
    <w:uiPriority w:val="39"/>
    <w:unhideWhenUsed/>
    <w:qFormat/>
    <w:rsid w:val="008218F5"/>
    <w:pPr>
      <w:spacing w:after="100"/>
    </w:pPr>
  </w:style>
  <w:style w:type="paragraph" w:styleId="23">
    <w:name w:val="toc 2"/>
    <w:basedOn w:val="a"/>
    <w:next w:val="a"/>
    <w:autoRedefine/>
    <w:uiPriority w:val="39"/>
    <w:unhideWhenUsed/>
    <w:qFormat/>
    <w:rsid w:val="000160C5"/>
    <w:pPr>
      <w:tabs>
        <w:tab w:val="right" w:leader="dot" w:pos="9345"/>
      </w:tabs>
      <w:spacing w:after="100"/>
    </w:pPr>
  </w:style>
  <w:style w:type="paragraph" w:styleId="af3">
    <w:name w:val="Balloon Text"/>
    <w:basedOn w:val="a"/>
    <w:link w:val="af4"/>
    <w:uiPriority w:val="99"/>
    <w:semiHidden/>
    <w:unhideWhenUsed/>
    <w:rsid w:val="008218F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218F5"/>
    <w:rPr>
      <w:rFonts w:ascii="Tahoma" w:hAnsi="Tahoma" w:cs="Tahoma"/>
      <w:sz w:val="16"/>
      <w:szCs w:val="16"/>
    </w:rPr>
  </w:style>
  <w:style w:type="paragraph" w:styleId="31">
    <w:name w:val="toc 3"/>
    <w:basedOn w:val="a"/>
    <w:next w:val="a"/>
    <w:autoRedefine/>
    <w:uiPriority w:val="39"/>
    <w:unhideWhenUsed/>
    <w:qFormat/>
    <w:rsid w:val="008218F5"/>
    <w:pPr>
      <w:spacing w:after="100"/>
      <w:ind w:left="440"/>
    </w:pPr>
    <w:rPr>
      <w:rFonts w:eastAsiaTheme="minorEastAsia"/>
      <w:lang w:eastAsia="ru-RU"/>
    </w:rPr>
  </w:style>
  <w:style w:type="paragraph" w:customStyle="1" w:styleId="TNR14">
    <w:name w:val="TNR 14"/>
    <w:aliases w:val="по ширине,1,5"/>
    <w:basedOn w:val="a"/>
    <w:qFormat/>
    <w:rsid w:val="00600D50"/>
    <w:pPr>
      <w:spacing w:after="0" w:line="360" w:lineRule="auto"/>
      <w:ind w:firstLine="709"/>
      <w:jc w:val="both"/>
    </w:pPr>
    <w:rPr>
      <w:rFonts w:ascii="Times New Roman" w:hAnsi="Times New Roman"/>
      <w:sz w:val="28"/>
      <w:lang w:val="en-US"/>
    </w:rPr>
  </w:style>
  <w:style w:type="character" w:customStyle="1" w:styleId="30">
    <w:name w:val="Заголовок 3 Знак"/>
    <w:basedOn w:val="a0"/>
    <w:link w:val="3"/>
    <w:uiPriority w:val="9"/>
    <w:rsid w:val="00940A88"/>
    <w:rPr>
      <w:rFonts w:ascii="Times New Roman" w:eastAsiaTheme="majorEastAsia" w:hAnsi="Times New Roman" w:cstheme="majorBidi"/>
      <w:b/>
      <w:bCs/>
      <w:i/>
      <w:sz w:val="28"/>
    </w:rPr>
  </w:style>
  <w:style w:type="character" w:customStyle="1" w:styleId="40">
    <w:name w:val="Заголовок 4 Знак"/>
    <w:basedOn w:val="a0"/>
    <w:link w:val="4"/>
    <w:uiPriority w:val="9"/>
    <w:rsid w:val="00940A88"/>
    <w:rPr>
      <w:rFonts w:ascii="Times New Roman" w:eastAsiaTheme="majorEastAsia" w:hAnsi="Times New Roman" w:cstheme="majorBidi"/>
      <w:bCs/>
      <w:i/>
      <w:iCs/>
      <w:sz w:val="28"/>
    </w:rPr>
  </w:style>
  <w:style w:type="paragraph" w:styleId="41">
    <w:name w:val="toc 4"/>
    <w:basedOn w:val="a"/>
    <w:next w:val="a"/>
    <w:autoRedefine/>
    <w:uiPriority w:val="39"/>
    <w:unhideWhenUsed/>
    <w:rsid w:val="00AE1C1E"/>
    <w:pPr>
      <w:spacing w:after="100"/>
      <w:ind w:left="660"/>
    </w:pPr>
  </w:style>
  <w:style w:type="table" w:styleId="af5">
    <w:name w:val="Table Grid"/>
    <w:basedOn w:val="a1"/>
    <w:uiPriority w:val="59"/>
    <w:rsid w:val="00636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573EB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73EB4"/>
  </w:style>
  <w:style w:type="paragraph" w:styleId="af8">
    <w:name w:val="footer"/>
    <w:basedOn w:val="a"/>
    <w:link w:val="af9"/>
    <w:uiPriority w:val="99"/>
    <w:unhideWhenUsed/>
    <w:rsid w:val="00573EB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73EB4"/>
  </w:style>
  <w:style w:type="character" w:customStyle="1" w:styleId="60">
    <w:name w:val="Заголовок 6 Знак"/>
    <w:basedOn w:val="a0"/>
    <w:link w:val="6"/>
    <w:rsid w:val="00C9664C"/>
    <w:rPr>
      <w:rFonts w:ascii="Times New Roman" w:eastAsia="Times New Roman" w:hAnsi="Times New Roman" w:cs="Times New Roman"/>
      <w:b/>
      <w:bCs/>
      <w:lang w:eastAsia="ru-RU"/>
    </w:rPr>
  </w:style>
  <w:style w:type="paragraph" w:customStyle="1" w:styleId="FR1">
    <w:name w:val="FR1"/>
    <w:rsid w:val="00C9664C"/>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4">
    <w:name w:val="Body Text 2"/>
    <w:basedOn w:val="a"/>
    <w:link w:val="25"/>
    <w:rsid w:val="00C9664C"/>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5">
    <w:name w:val="Основной текст 2 Знак"/>
    <w:basedOn w:val="a0"/>
    <w:link w:val="24"/>
    <w:rsid w:val="00C9664C"/>
    <w:rPr>
      <w:rFonts w:ascii="Times New Roman" w:eastAsia="Times New Roman" w:hAnsi="Times New Roman" w:cs="Times New Roman"/>
      <w:sz w:val="24"/>
      <w:szCs w:val="18"/>
      <w:lang w:eastAsia="ru-RU"/>
    </w:rPr>
  </w:style>
</w:styles>
</file>

<file path=word/webSettings.xml><?xml version="1.0" encoding="utf-8"?>
<w:webSettings xmlns:r="http://schemas.openxmlformats.org/officeDocument/2006/relationships" xmlns:w="http://schemas.openxmlformats.org/wordprocessingml/2006/main">
  <w:divs>
    <w:div w:id="84353019">
      <w:bodyDiv w:val="1"/>
      <w:marLeft w:val="0"/>
      <w:marRight w:val="0"/>
      <w:marTop w:val="0"/>
      <w:marBottom w:val="0"/>
      <w:divBdr>
        <w:top w:val="none" w:sz="0" w:space="0" w:color="auto"/>
        <w:left w:val="none" w:sz="0" w:space="0" w:color="auto"/>
        <w:bottom w:val="none" w:sz="0" w:space="0" w:color="auto"/>
        <w:right w:val="none" w:sz="0" w:space="0" w:color="auto"/>
      </w:divBdr>
    </w:div>
    <w:div w:id="92017042">
      <w:bodyDiv w:val="1"/>
      <w:marLeft w:val="0"/>
      <w:marRight w:val="0"/>
      <w:marTop w:val="0"/>
      <w:marBottom w:val="0"/>
      <w:divBdr>
        <w:top w:val="none" w:sz="0" w:space="0" w:color="auto"/>
        <w:left w:val="none" w:sz="0" w:space="0" w:color="auto"/>
        <w:bottom w:val="none" w:sz="0" w:space="0" w:color="auto"/>
        <w:right w:val="none" w:sz="0" w:space="0" w:color="auto"/>
      </w:divBdr>
    </w:div>
    <w:div w:id="93870685">
      <w:bodyDiv w:val="1"/>
      <w:marLeft w:val="0"/>
      <w:marRight w:val="0"/>
      <w:marTop w:val="0"/>
      <w:marBottom w:val="0"/>
      <w:divBdr>
        <w:top w:val="none" w:sz="0" w:space="0" w:color="auto"/>
        <w:left w:val="none" w:sz="0" w:space="0" w:color="auto"/>
        <w:bottom w:val="none" w:sz="0" w:space="0" w:color="auto"/>
        <w:right w:val="none" w:sz="0" w:space="0" w:color="auto"/>
      </w:divBdr>
    </w:div>
    <w:div w:id="131144723">
      <w:bodyDiv w:val="1"/>
      <w:marLeft w:val="0"/>
      <w:marRight w:val="0"/>
      <w:marTop w:val="0"/>
      <w:marBottom w:val="0"/>
      <w:divBdr>
        <w:top w:val="none" w:sz="0" w:space="0" w:color="auto"/>
        <w:left w:val="none" w:sz="0" w:space="0" w:color="auto"/>
        <w:bottom w:val="none" w:sz="0" w:space="0" w:color="auto"/>
        <w:right w:val="none" w:sz="0" w:space="0" w:color="auto"/>
      </w:divBdr>
    </w:div>
    <w:div w:id="211963009">
      <w:bodyDiv w:val="1"/>
      <w:marLeft w:val="0"/>
      <w:marRight w:val="0"/>
      <w:marTop w:val="0"/>
      <w:marBottom w:val="0"/>
      <w:divBdr>
        <w:top w:val="none" w:sz="0" w:space="0" w:color="auto"/>
        <w:left w:val="none" w:sz="0" w:space="0" w:color="auto"/>
        <w:bottom w:val="none" w:sz="0" w:space="0" w:color="auto"/>
        <w:right w:val="none" w:sz="0" w:space="0" w:color="auto"/>
      </w:divBdr>
    </w:div>
    <w:div w:id="226109490">
      <w:bodyDiv w:val="1"/>
      <w:marLeft w:val="0"/>
      <w:marRight w:val="0"/>
      <w:marTop w:val="0"/>
      <w:marBottom w:val="0"/>
      <w:divBdr>
        <w:top w:val="none" w:sz="0" w:space="0" w:color="auto"/>
        <w:left w:val="none" w:sz="0" w:space="0" w:color="auto"/>
        <w:bottom w:val="none" w:sz="0" w:space="0" w:color="auto"/>
        <w:right w:val="none" w:sz="0" w:space="0" w:color="auto"/>
      </w:divBdr>
    </w:div>
    <w:div w:id="270935590">
      <w:bodyDiv w:val="1"/>
      <w:marLeft w:val="0"/>
      <w:marRight w:val="0"/>
      <w:marTop w:val="0"/>
      <w:marBottom w:val="0"/>
      <w:divBdr>
        <w:top w:val="none" w:sz="0" w:space="0" w:color="auto"/>
        <w:left w:val="none" w:sz="0" w:space="0" w:color="auto"/>
        <w:bottom w:val="none" w:sz="0" w:space="0" w:color="auto"/>
        <w:right w:val="none" w:sz="0" w:space="0" w:color="auto"/>
      </w:divBdr>
    </w:div>
    <w:div w:id="281234792">
      <w:bodyDiv w:val="1"/>
      <w:marLeft w:val="0"/>
      <w:marRight w:val="0"/>
      <w:marTop w:val="0"/>
      <w:marBottom w:val="0"/>
      <w:divBdr>
        <w:top w:val="none" w:sz="0" w:space="0" w:color="auto"/>
        <w:left w:val="none" w:sz="0" w:space="0" w:color="auto"/>
        <w:bottom w:val="none" w:sz="0" w:space="0" w:color="auto"/>
        <w:right w:val="none" w:sz="0" w:space="0" w:color="auto"/>
      </w:divBdr>
    </w:div>
    <w:div w:id="281812340">
      <w:bodyDiv w:val="1"/>
      <w:marLeft w:val="0"/>
      <w:marRight w:val="0"/>
      <w:marTop w:val="0"/>
      <w:marBottom w:val="0"/>
      <w:divBdr>
        <w:top w:val="none" w:sz="0" w:space="0" w:color="auto"/>
        <w:left w:val="none" w:sz="0" w:space="0" w:color="auto"/>
        <w:bottom w:val="none" w:sz="0" w:space="0" w:color="auto"/>
        <w:right w:val="none" w:sz="0" w:space="0" w:color="auto"/>
      </w:divBdr>
    </w:div>
    <w:div w:id="365370750">
      <w:bodyDiv w:val="1"/>
      <w:marLeft w:val="0"/>
      <w:marRight w:val="0"/>
      <w:marTop w:val="0"/>
      <w:marBottom w:val="0"/>
      <w:divBdr>
        <w:top w:val="none" w:sz="0" w:space="0" w:color="auto"/>
        <w:left w:val="none" w:sz="0" w:space="0" w:color="auto"/>
        <w:bottom w:val="none" w:sz="0" w:space="0" w:color="auto"/>
        <w:right w:val="none" w:sz="0" w:space="0" w:color="auto"/>
      </w:divBdr>
    </w:div>
    <w:div w:id="390152612">
      <w:bodyDiv w:val="1"/>
      <w:marLeft w:val="0"/>
      <w:marRight w:val="0"/>
      <w:marTop w:val="0"/>
      <w:marBottom w:val="0"/>
      <w:divBdr>
        <w:top w:val="none" w:sz="0" w:space="0" w:color="auto"/>
        <w:left w:val="none" w:sz="0" w:space="0" w:color="auto"/>
        <w:bottom w:val="none" w:sz="0" w:space="0" w:color="auto"/>
        <w:right w:val="none" w:sz="0" w:space="0" w:color="auto"/>
      </w:divBdr>
      <w:divsChild>
        <w:div w:id="1204636509">
          <w:marLeft w:val="0"/>
          <w:marRight w:val="0"/>
          <w:marTop w:val="0"/>
          <w:marBottom w:val="0"/>
          <w:divBdr>
            <w:top w:val="none" w:sz="0" w:space="0" w:color="auto"/>
            <w:left w:val="none" w:sz="0" w:space="0" w:color="auto"/>
            <w:bottom w:val="none" w:sz="0" w:space="0" w:color="auto"/>
            <w:right w:val="none" w:sz="0" w:space="0" w:color="auto"/>
          </w:divBdr>
        </w:div>
        <w:div w:id="1366515325">
          <w:marLeft w:val="0"/>
          <w:marRight w:val="0"/>
          <w:marTop w:val="0"/>
          <w:marBottom w:val="0"/>
          <w:divBdr>
            <w:top w:val="none" w:sz="0" w:space="0" w:color="auto"/>
            <w:left w:val="none" w:sz="0" w:space="0" w:color="auto"/>
            <w:bottom w:val="none" w:sz="0" w:space="0" w:color="auto"/>
            <w:right w:val="none" w:sz="0" w:space="0" w:color="auto"/>
          </w:divBdr>
        </w:div>
        <w:div w:id="2138909347">
          <w:marLeft w:val="0"/>
          <w:marRight w:val="0"/>
          <w:marTop w:val="0"/>
          <w:marBottom w:val="0"/>
          <w:divBdr>
            <w:top w:val="none" w:sz="0" w:space="0" w:color="auto"/>
            <w:left w:val="none" w:sz="0" w:space="0" w:color="auto"/>
            <w:bottom w:val="none" w:sz="0" w:space="0" w:color="auto"/>
            <w:right w:val="none" w:sz="0" w:space="0" w:color="auto"/>
          </w:divBdr>
        </w:div>
      </w:divsChild>
    </w:div>
    <w:div w:id="391196297">
      <w:bodyDiv w:val="1"/>
      <w:marLeft w:val="0"/>
      <w:marRight w:val="0"/>
      <w:marTop w:val="0"/>
      <w:marBottom w:val="0"/>
      <w:divBdr>
        <w:top w:val="none" w:sz="0" w:space="0" w:color="auto"/>
        <w:left w:val="none" w:sz="0" w:space="0" w:color="auto"/>
        <w:bottom w:val="none" w:sz="0" w:space="0" w:color="auto"/>
        <w:right w:val="none" w:sz="0" w:space="0" w:color="auto"/>
      </w:divBdr>
    </w:div>
    <w:div w:id="428040185">
      <w:bodyDiv w:val="1"/>
      <w:marLeft w:val="0"/>
      <w:marRight w:val="0"/>
      <w:marTop w:val="0"/>
      <w:marBottom w:val="0"/>
      <w:divBdr>
        <w:top w:val="none" w:sz="0" w:space="0" w:color="auto"/>
        <w:left w:val="none" w:sz="0" w:space="0" w:color="auto"/>
        <w:bottom w:val="none" w:sz="0" w:space="0" w:color="auto"/>
        <w:right w:val="none" w:sz="0" w:space="0" w:color="auto"/>
      </w:divBdr>
    </w:div>
    <w:div w:id="452134678">
      <w:bodyDiv w:val="1"/>
      <w:marLeft w:val="0"/>
      <w:marRight w:val="0"/>
      <w:marTop w:val="0"/>
      <w:marBottom w:val="0"/>
      <w:divBdr>
        <w:top w:val="none" w:sz="0" w:space="0" w:color="auto"/>
        <w:left w:val="none" w:sz="0" w:space="0" w:color="auto"/>
        <w:bottom w:val="none" w:sz="0" w:space="0" w:color="auto"/>
        <w:right w:val="none" w:sz="0" w:space="0" w:color="auto"/>
      </w:divBdr>
    </w:div>
    <w:div w:id="453907253">
      <w:bodyDiv w:val="1"/>
      <w:marLeft w:val="0"/>
      <w:marRight w:val="0"/>
      <w:marTop w:val="0"/>
      <w:marBottom w:val="0"/>
      <w:divBdr>
        <w:top w:val="none" w:sz="0" w:space="0" w:color="auto"/>
        <w:left w:val="none" w:sz="0" w:space="0" w:color="auto"/>
        <w:bottom w:val="none" w:sz="0" w:space="0" w:color="auto"/>
        <w:right w:val="none" w:sz="0" w:space="0" w:color="auto"/>
      </w:divBdr>
    </w:div>
    <w:div w:id="459345000">
      <w:bodyDiv w:val="1"/>
      <w:marLeft w:val="0"/>
      <w:marRight w:val="0"/>
      <w:marTop w:val="0"/>
      <w:marBottom w:val="0"/>
      <w:divBdr>
        <w:top w:val="none" w:sz="0" w:space="0" w:color="auto"/>
        <w:left w:val="none" w:sz="0" w:space="0" w:color="auto"/>
        <w:bottom w:val="none" w:sz="0" w:space="0" w:color="auto"/>
        <w:right w:val="none" w:sz="0" w:space="0" w:color="auto"/>
      </w:divBdr>
    </w:div>
    <w:div w:id="497577667">
      <w:bodyDiv w:val="1"/>
      <w:marLeft w:val="0"/>
      <w:marRight w:val="0"/>
      <w:marTop w:val="0"/>
      <w:marBottom w:val="0"/>
      <w:divBdr>
        <w:top w:val="none" w:sz="0" w:space="0" w:color="auto"/>
        <w:left w:val="none" w:sz="0" w:space="0" w:color="auto"/>
        <w:bottom w:val="none" w:sz="0" w:space="0" w:color="auto"/>
        <w:right w:val="none" w:sz="0" w:space="0" w:color="auto"/>
      </w:divBdr>
      <w:divsChild>
        <w:div w:id="1577014262">
          <w:marLeft w:val="0"/>
          <w:marRight w:val="0"/>
          <w:marTop w:val="0"/>
          <w:marBottom w:val="0"/>
          <w:divBdr>
            <w:top w:val="none" w:sz="0" w:space="0" w:color="auto"/>
            <w:left w:val="none" w:sz="0" w:space="0" w:color="auto"/>
            <w:bottom w:val="none" w:sz="0" w:space="0" w:color="auto"/>
            <w:right w:val="none" w:sz="0" w:space="0" w:color="auto"/>
          </w:divBdr>
        </w:div>
      </w:divsChild>
    </w:div>
    <w:div w:id="504130568">
      <w:bodyDiv w:val="1"/>
      <w:marLeft w:val="0"/>
      <w:marRight w:val="0"/>
      <w:marTop w:val="0"/>
      <w:marBottom w:val="0"/>
      <w:divBdr>
        <w:top w:val="none" w:sz="0" w:space="0" w:color="auto"/>
        <w:left w:val="none" w:sz="0" w:space="0" w:color="auto"/>
        <w:bottom w:val="none" w:sz="0" w:space="0" w:color="auto"/>
        <w:right w:val="none" w:sz="0" w:space="0" w:color="auto"/>
      </w:divBdr>
    </w:div>
    <w:div w:id="598829873">
      <w:bodyDiv w:val="1"/>
      <w:marLeft w:val="0"/>
      <w:marRight w:val="0"/>
      <w:marTop w:val="0"/>
      <w:marBottom w:val="0"/>
      <w:divBdr>
        <w:top w:val="none" w:sz="0" w:space="0" w:color="auto"/>
        <w:left w:val="none" w:sz="0" w:space="0" w:color="auto"/>
        <w:bottom w:val="none" w:sz="0" w:space="0" w:color="auto"/>
        <w:right w:val="none" w:sz="0" w:space="0" w:color="auto"/>
      </w:divBdr>
    </w:div>
    <w:div w:id="599684978">
      <w:bodyDiv w:val="1"/>
      <w:marLeft w:val="0"/>
      <w:marRight w:val="0"/>
      <w:marTop w:val="0"/>
      <w:marBottom w:val="0"/>
      <w:divBdr>
        <w:top w:val="none" w:sz="0" w:space="0" w:color="auto"/>
        <w:left w:val="none" w:sz="0" w:space="0" w:color="auto"/>
        <w:bottom w:val="none" w:sz="0" w:space="0" w:color="auto"/>
        <w:right w:val="none" w:sz="0" w:space="0" w:color="auto"/>
      </w:divBdr>
    </w:div>
    <w:div w:id="601953972">
      <w:bodyDiv w:val="1"/>
      <w:marLeft w:val="0"/>
      <w:marRight w:val="0"/>
      <w:marTop w:val="0"/>
      <w:marBottom w:val="0"/>
      <w:divBdr>
        <w:top w:val="none" w:sz="0" w:space="0" w:color="auto"/>
        <w:left w:val="none" w:sz="0" w:space="0" w:color="auto"/>
        <w:bottom w:val="none" w:sz="0" w:space="0" w:color="auto"/>
        <w:right w:val="none" w:sz="0" w:space="0" w:color="auto"/>
      </w:divBdr>
    </w:div>
    <w:div w:id="614483610">
      <w:bodyDiv w:val="1"/>
      <w:marLeft w:val="0"/>
      <w:marRight w:val="0"/>
      <w:marTop w:val="0"/>
      <w:marBottom w:val="0"/>
      <w:divBdr>
        <w:top w:val="none" w:sz="0" w:space="0" w:color="auto"/>
        <w:left w:val="none" w:sz="0" w:space="0" w:color="auto"/>
        <w:bottom w:val="none" w:sz="0" w:space="0" w:color="auto"/>
        <w:right w:val="none" w:sz="0" w:space="0" w:color="auto"/>
      </w:divBdr>
    </w:div>
    <w:div w:id="628509695">
      <w:bodyDiv w:val="1"/>
      <w:marLeft w:val="0"/>
      <w:marRight w:val="0"/>
      <w:marTop w:val="0"/>
      <w:marBottom w:val="0"/>
      <w:divBdr>
        <w:top w:val="none" w:sz="0" w:space="0" w:color="auto"/>
        <w:left w:val="none" w:sz="0" w:space="0" w:color="auto"/>
        <w:bottom w:val="none" w:sz="0" w:space="0" w:color="auto"/>
        <w:right w:val="none" w:sz="0" w:space="0" w:color="auto"/>
      </w:divBdr>
    </w:div>
    <w:div w:id="630788589">
      <w:bodyDiv w:val="1"/>
      <w:marLeft w:val="0"/>
      <w:marRight w:val="0"/>
      <w:marTop w:val="0"/>
      <w:marBottom w:val="0"/>
      <w:divBdr>
        <w:top w:val="none" w:sz="0" w:space="0" w:color="auto"/>
        <w:left w:val="none" w:sz="0" w:space="0" w:color="auto"/>
        <w:bottom w:val="none" w:sz="0" w:space="0" w:color="auto"/>
        <w:right w:val="none" w:sz="0" w:space="0" w:color="auto"/>
      </w:divBdr>
    </w:div>
    <w:div w:id="646975477">
      <w:bodyDiv w:val="1"/>
      <w:marLeft w:val="0"/>
      <w:marRight w:val="0"/>
      <w:marTop w:val="0"/>
      <w:marBottom w:val="0"/>
      <w:divBdr>
        <w:top w:val="none" w:sz="0" w:space="0" w:color="auto"/>
        <w:left w:val="none" w:sz="0" w:space="0" w:color="auto"/>
        <w:bottom w:val="none" w:sz="0" w:space="0" w:color="auto"/>
        <w:right w:val="none" w:sz="0" w:space="0" w:color="auto"/>
      </w:divBdr>
      <w:divsChild>
        <w:div w:id="373580208">
          <w:marLeft w:val="0"/>
          <w:marRight w:val="0"/>
          <w:marTop w:val="0"/>
          <w:marBottom w:val="0"/>
          <w:divBdr>
            <w:top w:val="none" w:sz="0" w:space="0" w:color="auto"/>
            <w:left w:val="none" w:sz="0" w:space="0" w:color="auto"/>
            <w:bottom w:val="none" w:sz="0" w:space="0" w:color="auto"/>
            <w:right w:val="none" w:sz="0" w:space="0" w:color="auto"/>
          </w:divBdr>
        </w:div>
        <w:div w:id="916986225">
          <w:marLeft w:val="0"/>
          <w:marRight w:val="0"/>
          <w:marTop w:val="0"/>
          <w:marBottom w:val="0"/>
          <w:divBdr>
            <w:top w:val="none" w:sz="0" w:space="0" w:color="auto"/>
            <w:left w:val="none" w:sz="0" w:space="0" w:color="auto"/>
            <w:bottom w:val="none" w:sz="0" w:space="0" w:color="auto"/>
            <w:right w:val="none" w:sz="0" w:space="0" w:color="auto"/>
          </w:divBdr>
        </w:div>
        <w:div w:id="1172597892">
          <w:marLeft w:val="0"/>
          <w:marRight w:val="0"/>
          <w:marTop w:val="0"/>
          <w:marBottom w:val="0"/>
          <w:divBdr>
            <w:top w:val="none" w:sz="0" w:space="0" w:color="auto"/>
            <w:left w:val="none" w:sz="0" w:space="0" w:color="auto"/>
            <w:bottom w:val="none" w:sz="0" w:space="0" w:color="auto"/>
            <w:right w:val="none" w:sz="0" w:space="0" w:color="auto"/>
          </w:divBdr>
        </w:div>
      </w:divsChild>
    </w:div>
    <w:div w:id="663972255">
      <w:bodyDiv w:val="1"/>
      <w:marLeft w:val="0"/>
      <w:marRight w:val="0"/>
      <w:marTop w:val="0"/>
      <w:marBottom w:val="0"/>
      <w:divBdr>
        <w:top w:val="none" w:sz="0" w:space="0" w:color="auto"/>
        <w:left w:val="none" w:sz="0" w:space="0" w:color="auto"/>
        <w:bottom w:val="none" w:sz="0" w:space="0" w:color="auto"/>
        <w:right w:val="none" w:sz="0" w:space="0" w:color="auto"/>
      </w:divBdr>
    </w:div>
    <w:div w:id="683018217">
      <w:bodyDiv w:val="1"/>
      <w:marLeft w:val="0"/>
      <w:marRight w:val="0"/>
      <w:marTop w:val="0"/>
      <w:marBottom w:val="0"/>
      <w:divBdr>
        <w:top w:val="none" w:sz="0" w:space="0" w:color="auto"/>
        <w:left w:val="none" w:sz="0" w:space="0" w:color="auto"/>
        <w:bottom w:val="none" w:sz="0" w:space="0" w:color="auto"/>
        <w:right w:val="none" w:sz="0" w:space="0" w:color="auto"/>
      </w:divBdr>
      <w:divsChild>
        <w:div w:id="30225905">
          <w:marLeft w:val="0"/>
          <w:marRight w:val="0"/>
          <w:marTop w:val="0"/>
          <w:marBottom w:val="0"/>
          <w:divBdr>
            <w:top w:val="none" w:sz="0" w:space="0" w:color="auto"/>
            <w:left w:val="none" w:sz="0" w:space="0" w:color="auto"/>
            <w:bottom w:val="none" w:sz="0" w:space="0" w:color="auto"/>
            <w:right w:val="none" w:sz="0" w:space="0" w:color="auto"/>
          </w:divBdr>
        </w:div>
        <w:div w:id="2038382584">
          <w:marLeft w:val="0"/>
          <w:marRight w:val="0"/>
          <w:marTop w:val="0"/>
          <w:marBottom w:val="0"/>
          <w:divBdr>
            <w:top w:val="none" w:sz="0" w:space="0" w:color="auto"/>
            <w:left w:val="none" w:sz="0" w:space="0" w:color="auto"/>
            <w:bottom w:val="none" w:sz="0" w:space="0" w:color="auto"/>
            <w:right w:val="none" w:sz="0" w:space="0" w:color="auto"/>
          </w:divBdr>
        </w:div>
      </w:divsChild>
    </w:div>
    <w:div w:id="684017429">
      <w:bodyDiv w:val="1"/>
      <w:marLeft w:val="0"/>
      <w:marRight w:val="0"/>
      <w:marTop w:val="0"/>
      <w:marBottom w:val="0"/>
      <w:divBdr>
        <w:top w:val="none" w:sz="0" w:space="0" w:color="auto"/>
        <w:left w:val="none" w:sz="0" w:space="0" w:color="auto"/>
        <w:bottom w:val="none" w:sz="0" w:space="0" w:color="auto"/>
        <w:right w:val="none" w:sz="0" w:space="0" w:color="auto"/>
      </w:divBdr>
    </w:div>
    <w:div w:id="698160161">
      <w:bodyDiv w:val="1"/>
      <w:marLeft w:val="0"/>
      <w:marRight w:val="0"/>
      <w:marTop w:val="0"/>
      <w:marBottom w:val="0"/>
      <w:divBdr>
        <w:top w:val="none" w:sz="0" w:space="0" w:color="auto"/>
        <w:left w:val="none" w:sz="0" w:space="0" w:color="auto"/>
        <w:bottom w:val="none" w:sz="0" w:space="0" w:color="auto"/>
        <w:right w:val="none" w:sz="0" w:space="0" w:color="auto"/>
      </w:divBdr>
    </w:div>
    <w:div w:id="704986961">
      <w:bodyDiv w:val="1"/>
      <w:marLeft w:val="0"/>
      <w:marRight w:val="0"/>
      <w:marTop w:val="0"/>
      <w:marBottom w:val="0"/>
      <w:divBdr>
        <w:top w:val="none" w:sz="0" w:space="0" w:color="auto"/>
        <w:left w:val="none" w:sz="0" w:space="0" w:color="auto"/>
        <w:bottom w:val="none" w:sz="0" w:space="0" w:color="auto"/>
        <w:right w:val="none" w:sz="0" w:space="0" w:color="auto"/>
      </w:divBdr>
      <w:divsChild>
        <w:div w:id="1155221755">
          <w:marLeft w:val="0"/>
          <w:marRight w:val="0"/>
          <w:marTop w:val="0"/>
          <w:marBottom w:val="0"/>
          <w:divBdr>
            <w:top w:val="none" w:sz="0" w:space="0" w:color="auto"/>
            <w:left w:val="none" w:sz="0" w:space="0" w:color="auto"/>
            <w:bottom w:val="none" w:sz="0" w:space="0" w:color="auto"/>
            <w:right w:val="none" w:sz="0" w:space="0" w:color="auto"/>
          </w:divBdr>
        </w:div>
        <w:div w:id="1533767315">
          <w:marLeft w:val="0"/>
          <w:marRight w:val="0"/>
          <w:marTop w:val="0"/>
          <w:marBottom w:val="0"/>
          <w:divBdr>
            <w:top w:val="none" w:sz="0" w:space="0" w:color="auto"/>
            <w:left w:val="none" w:sz="0" w:space="0" w:color="auto"/>
            <w:bottom w:val="none" w:sz="0" w:space="0" w:color="auto"/>
            <w:right w:val="none" w:sz="0" w:space="0" w:color="auto"/>
          </w:divBdr>
        </w:div>
        <w:div w:id="1701127960">
          <w:marLeft w:val="0"/>
          <w:marRight w:val="0"/>
          <w:marTop w:val="0"/>
          <w:marBottom w:val="0"/>
          <w:divBdr>
            <w:top w:val="none" w:sz="0" w:space="0" w:color="auto"/>
            <w:left w:val="none" w:sz="0" w:space="0" w:color="auto"/>
            <w:bottom w:val="none" w:sz="0" w:space="0" w:color="auto"/>
            <w:right w:val="none" w:sz="0" w:space="0" w:color="auto"/>
          </w:divBdr>
        </w:div>
      </w:divsChild>
    </w:div>
    <w:div w:id="705377694">
      <w:bodyDiv w:val="1"/>
      <w:marLeft w:val="0"/>
      <w:marRight w:val="0"/>
      <w:marTop w:val="0"/>
      <w:marBottom w:val="0"/>
      <w:divBdr>
        <w:top w:val="none" w:sz="0" w:space="0" w:color="auto"/>
        <w:left w:val="none" w:sz="0" w:space="0" w:color="auto"/>
        <w:bottom w:val="none" w:sz="0" w:space="0" w:color="auto"/>
        <w:right w:val="none" w:sz="0" w:space="0" w:color="auto"/>
      </w:divBdr>
    </w:div>
    <w:div w:id="749935128">
      <w:bodyDiv w:val="1"/>
      <w:marLeft w:val="0"/>
      <w:marRight w:val="0"/>
      <w:marTop w:val="0"/>
      <w:marBottom w:val="0"/>
      <w:divBdr>
        <w:top w:val="none" w:sz="0" w:space="0" w:color="auto"/>
        <w:left w:val="none" w:sz="0" w:space="0" w:color="auto"/>
        <w:bottom w:val="none" w:sz="0" w:space="0" w:color="auto"/>
        <w:right w:val="none" w:sz="0" w:space="0" w:color="auto"/>
      </w:divBdr>
    </w:div>
    <w:div w:id="754859403">
      <w:bodyDiv w:val="1"/>
      <w:marLeft w:val="0"/>
      <w:marRight w:val="0"/>
      <w:marTop w:val="0"/>
      <w:marBottom w:val="0"/>
      <w:divBdr>
        <w:top w:val="none" w:sz="0" w:space="0" w:color="auto"/>
        <w:left w:val="none" w:sz="0" w:space="0" w:color="auto"/>
        <w:bottom w:val="none" w:sz="0" w:space="0" w:color="auto"/>
        <w:right w:val="none" w:sz="0" w:space="0" w:color="auto"/>
      </w:divBdr>
    </w:div>
    <w:div w:id="789322881">
      <w:bodyDiv w:val="1"/>
      <w:marLeft w:val="0"/>
      <w:marRight w:val="0"/>
      <w:marTop w:val="0"/>
      <w:marBottom w:val="0"/>
      <w:divBdr>
        <w:top w:val="none" w:sz="0" w:space="0" w:color="auto"/>
        <w:left w:val="none" w:sz="0" w:space="0" w:color="auto"/>
        <w:bottom w:val="none" w:sz="0" w:space="0" w:color="auto"/>
        <w:right w:val="none" w:sz="0" w:space="0" w:color="auto"/>
      </w:divBdr>
      <w:divsChild>
        <w:div w:id="727538592">
          <w:marLeft w:val="0"/>
          <w:marRight w:val="0"/>
          <w:marTop w:val="0"/>
          <w:marBottom w:val="0"/>
          <w:divBdr>
            <w:top w:val="none" w:sz="0" w:space="0" w:color="auto"/>
            <w:left w:val="none" w:sz="0" w:space="0" w:color="auto"/>
            <w:bottom w:val="none" w:sz="0" w:space="0" w:color="auto"/>
            <w:right w:val="none" w:sz="0" w:space="0" w:color="auto"/>
          </w:divBdr>
        </w:div>
        <w:div w:id="861289160">
          <w:marLeft w:val="0"/>
          <w:marRight w:val="0"/>
          <w:marTop w:val="0"/>
          <w:marBottom w:val="0"/>
          <w:divBdr>
            <w:top w:val="none" w:sz="0" w:space="0" w:color="auto"/>
            <w:left w:val="none" w:sz="0" w:space="0" w:color="auto"/>
            <w:bottom w:val="none" w:sz="0" w:space="0" w:color="auto"/>
            <w:right w:val="none" w:sz="0" w:space="0" w:color="auto"/>
          </w:divBdr>
        </w:div>
        <w:div w:id="1205799047">
          <w:marLeft w:val="0"/>
          <w:marRight w:val="0"/>
          <w:marTop w:val="0"/>
          <w:marBottom w:val="0"/>
          <w:divBdr>
            <w:top w:val="none" w:sz="0" w:space="0" w:color="auto"/>
            <w:left w:val="none" w:sz="0" w:space="0" w:color="auto"/>
            <w:bottom w:val="none" w:sz="0" w:space="0" w:color="auto"/>
            <w:right w:val="none" w:sz="0" w:space="0" w:color="auto"/>
          </w:divBdr>
        </w:div>
      </w:divsChild>
    </w:div>
    <w:div w:id="881744663">
      <w:bodyDiv w:val="1"/>
      <w:marLeft w:val="0"/>
      <w:marRight w:val="0"/>
      <w:marTop w:val="0"/>
      <w:marBottom w:val="0"/>
      <w:divBdr>
        <w:top w:val="none" w:sz="0" w:space="0" w:color="auto"/>
        <w:left w:val="none" w:sz="0" w:space="0" w:color="auto"/>
        <w:bottom w:val="none" w:sz="0" w:space="0" w:color="auto"/>
        <w:right w:val="none" w:sz="0" w:space="0" w:color="auto"/>
      </w:divBdr>
      <w:divsChild>
        <w:div w:id="294026951">
          <w:marLeft w:val="0"/>
          <w:marRight w:val="0"/>
          <w:marTop w:val="0"/>
          <w:marBottom w:val="0"/>
          <w:divBdr>
            <w:top w:val="none" w:sz="0" w:space="0" w:color="auto"/>
            <w:left w:val="none" w:sz="0" w:space="0" w:color="auto"/>
            <w:bottom w:val="none" w:sz="0" w:space="0" w:color="auto"/>
            <w:right w:val="none" w:sz="0" w:space="0" w:color="auto"/>
          </w:divBdr>
        </w:div>
        <w:div w:id="1701279586">
          <w:marLeft w:val="0"/>
          <w:marRight w:val="0"/>
          <w:marTop w:val="0"/>
          <w:marBottom w:val="0"/>
          <w:divBdr>
            <w:top w:val="none" w:sz="0" w:space="0" w:color="auto"/>
            <w:left w:val="none" w:sz="0" w:space="0" w:color="auto"/>
            <w:bottom w:val="none" w:sz="0" w:space="0" w:color="auto"/>
            <w:right w:val="none" w:sz="0" w:space="0" w:color="auto"/>
          </w:divBdr>
        </w:div>
      </w:divsChild>
    </w:div>
    <w:div w:id="888036431">
      <w:bodyDiv w:val="1"/>
      <w:marLeft w:val="0"/>
      <w:marRight w:val="0"/>
      <w:marTop w:val="0"/>
      <w:marBottom w:val="0"/>
      <w:divBdr>
        <w:top w:val="none" w:sz="0" w:space="0" w:color="auto"/>
        <w:left w:val="none" w:sz="0" w:space="0" w:color="auto"/>
        <w:bottom w:val="none" w:sz="0" w:space="0" w:color="auto"/>
        <w:right w:val="none" w:sz="0" w:space="0" w:color="auto"/>
      </w:divBdr>
    </w:div>
    <w:div w:id="889075096">
      <w:bodyDiv w:val="1"/>
      <w:marLeft w:val="0"/>
      <w:marRight w:val="0"/>
      <w:marTop w:val="0"/>
      <w:marBottom w:val="0"/>
      <w:divBdr>
        <w:top w:val="none" w:sz="0" w:space="0" w:color="auto"/>
        <w:left w:val="none" w:sz="0" w:space="0" w:color="auto"/>
        <w:bottom w:val="none" w:sz="0" w:space="0" w:color="auto"/>
        <w:right w:val="none" w:sz="0" w:space="0" w:color="auto"/>
      </w:divBdr>
    </w:div>
    <w:div w:id="891232673">
      <w:bodyDiv w:val="1"/>
      <w:marLeft w:val="0"/>
      <w:marRight w:val="0"/>
      <w:marTop w:val="0"/>
      <w:marBottom w:val="0"/>
      <w:divBdr>
        <w:top w:val="none" w:sz="0" w:space="0" w:color="auto"/>
        <w:left w:val="none" w:sz="0" w:space="0" w:color="auto"/>
        <w:bottom w:val="none" w:sz="0" w:space="0" w:color="auto"/>
        <w:right w:val="none" w:sz="0" w:space="0" w:color="auto"/>
      </w:divBdr>
    </w:div>
    <w:div w:id="919830224">
      <w:bodyDiv w:val="1"/>
      <w:marLeft w:val="0"/>
      <w:marRight w:val="0"/>
      <w:marTop w:val="0"/>
      <w:marBottom w:val="0"/>
      <w:divBdr>
        <w:top w:val="none" w:sz="0" w:space="0" w:color="auto"/>
        <w:left w:val="none" w:sz="0" w:space="0" w:color="auto"/>
        <w:bottom w:val="none" w:sz="0" w:space="0" w:color="auto"/>
        <w:right w:val="none" w:sz="0" w:space="0" w:color="auto"/>
      </w:divBdr>
      <w:divsChild>
        <w:div w:id="2114129178">
          <w:marLeft w:val="0"/>
          <w:marRight w:val="0"/>
          <w:marTop w:val="0"/>
          <w:marBottom w:val="0"/>
          <w:divBdr>
            <w:top w:val="none" w:sz="0" w:space="0" w:color="auto"/>
            <w:left w:val="none" w:sz="0" w:space="0" w:color="auto"/>
            <w:bottom w:val="none" w:sz="0" w:space="0" w:color="auto"/>
            <w:right w:val="none" w:sz="0" w:space="0" w:color="auto"/>
          </w:divBdr>
        </w:div>
      </w:divsChild>
    </w:div>
    <w:div w:id="943072051">
      <w:bodyDiv w:val="1"/>
      <w:marLeft w:val="0"/>
      <w:marRight w:val="0"/>
      <w:marTop w:val="0"/>
      <w:marBottom w:val="0"/>
      <w:divBdr>
        <w:top w:val="none" w:sz="0" w:space="0" w:color="auto"/>
        <w:left w:val="none" w:sz="0" w:space="0" w:color="auto"/>
        <w:bottom w:val="none" w:sz="0" w:space="0" w:color="auto"/>
        <w:right w:val="none" w:sz="0" w:space="0" w:color="auto"/>
      </w:divBdr>
    </w:div>
    <w:div w:id="1021784593">
      <w:bodyDiv w:val="1"/>
      <w:marLeft w:val="0"/>
      <w:marRight w:val="0"/>
      <w:marTop w:val="0"/>
      <w:marBottom w:val="0"/>
      <w:divBdr>
        <w:top w:val="none" w:sz="0" w:space="0" w:color="auto"/>
        <w:left w:val="none" w:sz="0" w:space="0" w:color="auto"/>
        <w:bottom w:val="none" w:sz="0" w:space="0" w:color="auto"/>
        <w:right w:val="none" w:sz="0" w:space="0" w:color="auto"/>
      </w:divBdr>
    </w:div>
    <w:div w:id="1022320982">
      <w:bodyDiv w:val="1"/>
      <w:marLeft w:val="0"/>
      <w:marRight w:val="0"/>
      <w:marTop w:val="0"/>
      <w:marBottom w:val="0"/>
      <w:divBdr>
        <w:top w:val="none" w:sz="0" w:space="0" w:color="auto"/>
        <w:left w:val="none" w:sz="0" w:space="0" w:color="auto"/>
        <w:bottom w:val="none" w:sz="0" w:space="0" w:color="auto"/>
        <w:right w:val="none" w:sz="0" w:space="0" w:color="auto"/>
      </w:divBdr>
    </w:div>
    <w:div w:id="1040319984">
      <w:bodyDiv w:val="1"/>
      <w:marLeft w:val="0"/>
      <w:marRight w:val="0"/>
      <w:marTop w:val="0"/>
      <w:marBottom w:val="0"/>
      <w:divBdr>
        <w:top w:val="none" w:sz="0" w:space="0" w:color="auto"/>
        <w:left w:val="none" w:sz="0" w:space="0" w:color="auto"/>
        <w:bottom w:val="none" w:sz="0" w:space="0" w:color="auto"/>
        <w:right w:val="none" w:sz="0" w:space="0" w:color="auto"/>
      </w:divBdr>
    </w:div>
    <w:div w:id="1056243811">
      <w:bodyDiv w:val="1"/>
      <w:marLeft w:val="0"/>
      <w:marRight w:val="0"/>
      <w:marTop w:val="0"/>
      <w:marBottom w:val="0"/>
      <w:divBdr>
        <w:top w:val="none" w:sz="0" w:space="0" w:color="auto"/>
        <w:left w:val="none" w:sz="0" w:space="0" w:color="auto"/>
        <w:bottom w:val="none" w:sz="0" w:space="0" w:color="auto"/>
        <w:right w:val="none" w:sz="0" w:space="0" w:color="auto"/>
      </w:divBdr>
    </w:div>
    <w:div w:id="1062564747">
      <w:bodyDiv w:val="1"/>
      <w:marLeft w:val="0"/>
      <w:marRight w:val="0"/>
      <w:marTop w:val="0"/>
      <w:marBottom w:val="0"/>
      <w:divBdr>
        <w:top w:val="none" w:sz="0" w:space="0" w:color="auto"/>
        <w:left w:val="none" w:sz="0" w:space="0" w:color="auto"/>
        <w:bottom w:val="none" w:sz="0" w:space="0" w:color="auto"/>
        <w:right w:val="none" w:sz="0" w:space="0" w:color="auto"/>
      </w:divBdr>
    </w:div>
    <w:div w:id="1099330812">
      <w:bodyDiv w:val="1"/>
      <w:marLeft w:val="0"/>
      <w:marRight w:val="0"/>
      <w:marTop w:val="0"/>
      <w:marBottom w:val="0"/>
      <w:divBdr>
        <w:top w:val="none" w:sz="0" w:space="0" w:color="auto"/>
        <w:left w:val="none" w:sz="0" w:space="0" w:color="auto"/>
        <w:bottom w:val="none" w:sz="0" w:space="0" w:color="auto"/>
        <w:right w:val="none" w:sz="0" w:space="0" w:color="auto"/>
      </w:divBdr>
      <w:divsChild>
        <w:div w:id="1220559054">
          <w:marLeft w:val="0"/>
          <w:marRight w:val="0"/>
          <w:marTop w:val="0"/>
          <w:marBottom w:val="0"/>
          <w:divBdr>
            <w:top w:val="none" w:sz="0" w:space="0" w:color="auto"/>
            <w:left w:val="none" w:sz="0" w:space="0" w:color="auto"/>
            <w:bottom w:val="none" w:sz="0" w:space="0" w:color="auto"/>
            <w:right w:val="none" w:sz="0" w:space="0" w:color="auto"/>
          </w:divBdr>
        </w:div>
      </w:divsChild>
    </w:div>
    <w:div w:id="1140877286">
      <w:bodyDiv w:val="1"/>
      <w:marLeft w:val="0"/>
      <w:marRight w:val="0"/>
      <w:marTop w:val="0"/>
      <w:marBottom w:val="0"/>
      <w:divBdr>
        <w:top w:val="none" w:sz="0" w:space="0" w:color="auto"/>
        <w:left w:val="none" w:sz="0" w:space="0" w:color="auto"/>
        <w:bottom w:val="none" w:sz="0" w:space="0" w:color="auto"/>
        <w:right w:val="none" w:sz="0" w:space="0" w:color="auto"/>
      </w:divBdr>
    </w:div>
    <w:div w:id="1162114536">
      <w:bodyDiv w:val="1"/>
      <w:marLeft w:val="0"/>
      <w:marRight w:val="0"/>
      <w:marTop w:val="0"/>
      <w:marBottom w:val="0"/>
      <w:divBdr>
        <w:top w:val="none" w:sz="0" w:space="0" w:color="auto"/>
        <w:left w:val="none" w:sz="0" w:space="0" w:color="auto"/>
        <w:bottom w:val="none" w:sz="0" w:space="0" w:color="auto"/>
        <w:right w:val="none" w:sz="0" w:space="0" w:color="auto"/>
      </w:divBdr>
    </w:div>
    <w:div w:id="1173490603">
      <w:bodyDiv w:val="1"/>
      <w:marLeft w:val="0"/>
      <w:marRight w:val="0"/>
      <w:marTop w:val="0"/>
      <w:marBottom w:val="0"/>
      <w:divBdr>
        <w:top w:val="none" w:sz="0" w:space="0" w:color="auto"/>
        <w:left w:val="none" w:sz="0" w:space="0" w:color="auto"/>
        <w:bottom w:val="none" w:sz="0" w:space="0" w:color="auto"/>
        <w:right w:val="none" w:sz="0" w:space="0" w:color="auto"/>
      </w:divBdr>
      <w:divsChild>
        <w:div w:id="1906721">
          <w:marLeft w:val="0"/>
          <w:marRight w:val="0"/>
          <w:marTop w:val="0"/>
          <w:marBottom w:val="0"/>
          <w:divBdr>
            <w:top w:val="none" w:sz="0" w:space="0" w:color="auto"/>
            <w:left w:val="none" w:sz="0" w:space="0" w:color="auto"/>
            <w:bottom w:val="none" w:sz="0" w:space="0" w:color="auto"/>
            <w:right w:val="none" w:sz="0" w:space="0" w:color="auto"/>
          </w:divBdr>
        </w:div>
        <w:div w:id="1140803901">
          <w:marLeft w:val="0"/>
          <w:marRight w:val="0"/>
          <w:marTop w:val="0"/>
          <w:marBottom w:val="0"/>
          <w:divBdr>
            <w:top w:val="none" w:sz="0" w:space="0" w:color="auto"/>
            <w:left w:val="none" w:sz="0" w:space="0" w:color="auto"/>
            <w:bottom w:val="none" w:sz="0" w:space="0" w:color="auto"/>
            <w:right w:val="none" w:sz="0" w:space="0" w:color="auto"/>
          </w:divBdr>
        </w:div>
      </w:divsChild>
    </w:div>
    <w:div w:id="1179780974">
      <w:bodyDiv w:val="1"/>
      <w:marLeft w:val="0"/>
      <w:marRight w:val="0"/>
      <w:marTop w:val="0"/>
      <w:marBottom w:val="0"/>
      <w:divBdr>
        <w:top w:val="none" w:sz="0" w:space="0" w:color="auto"/>
        <w:left w:val="none" w:sz="0" w:space="0" w:color="auto"/>
        <w:bottom w:val="none" w:sz="0" w:space="0" w:color="auto"/>
        <w:right w:val="none" w:sz="0" w:space="0" w:color="auto"/>
      </w:divBdr>
      <w:divsChild>
        <w:div w:id="571040344">
          <w:marLeft w:val="0"/>
          <w:marRight w:val="0"/>
          <w:marTop w:val="0"/>
          <w:marBottom w:val="0"/>
          <w:divBdr>
            <w:top w:val="none" w:sz="0" w:space="0" w:color="auto"/>
            <w:left w:val="none" w:sz="0" w:space="0" w:color="auto"/>
            <w:bottom w:val="none" w:sz="0" w:space="0" w:color="auto"/>
            <w:right w:val="none" w:sz="0" w:space="0" w:color="auto"/>
          </w:divBdr>
        </w:div>
        <w:div w:id="1879780381">
          <w:marLeft w:val="0"/>
          <w:marRight w:val="0"/>
          <w:marTop w:val="0"/>
          <w:marBottom w:val="0"/>
          <w:divBdr>
            <w:top w:val="none" w:sz="0" w:space="0" w:color="auto"/>
            <w:left w:val="none" w:sz="0" w:space="0" w:color="auto"/>
            <w:bottom w:val="none" w:sz="0" w:space="0" w:color="auto"/>
            <w:right w:val="none" w:sz="0" w:space="0" w:color="auto"/>
          </w:divBdr>
        </w:div>
        <w:div w:id="1998605509">
          <w:marLeft w:val="0"/>
          <w:marRight w:val="0"/>
          <w:marTop w:val="0"/>
          <w:marBottom w:val="0"/>
          <w:divBdr>
            <w:top w:val="none" w:sz="0" w:space="0" w:color="auto"/>
            <w:left w:val="none" w:sz="0" w:space="0" w:color="auto"/>
            <w:bottom w:val="none" w:sz="0" w:space="0" w:color="auto"/>
            <w:right w:val="none" w:sz="0" w:space="0" w:color="auto"/>
          </w:divBdr>
        </w:div>
      </w:divsChild>
    </w:div>
    <w:div w:id="1206598712">
      <w:bodyDiv w:val="1"/>
      <w:marLeft w:val="0"/>
      <w:marRight w:val="0"/>
      <w:marTop w:val="0"/>
      <w:marBottom w:val="0"/>
      <w:divBdr>
        <w:top w:val="none" w:sz="0" w:space="0" w:color="auto"/>
        <w:left w:val="none" w:sz="0" w:space="0" w:color="auto"/>
        <w:bottom w:val="none" w:sz="0" w:space="0" w:color="auto"/>
        <w:right w:val="none" w:sz="0" w:space="0" w:color="auto"/>
      </w:divBdr>
    </w:div>
    <w:div w:id="1211650398">
      <w:bodyDiv w:val="1"/>
      <w:marLeft w:val="0"/>
      <w:marRight w:val="0"/>
      <w:marTop w:val="0"/>
      <w:marBottom w:val="0"/>
      <w:divBdr>
        <w:top w:val="none" w:sz="0" w:space="0" w:color="auto"/>
        <w:left w:val="none" w:sz="0" w:space="0" w:color="auto"/>
        <w:bottom w:val="none" w:sz="0" w:space="0" w:color="auto"/>
        <w:right w:val="none" w:sz="0" w:space="0" w:color="auto"/>
      </w:divBdr>
    </w:div>
    <w:div w:id="1262834141">
      <w:bodyDiv w:val="1"/>
      <w:marLeft w:val="0"/>
      <w:marRight w:val="0"/>
      <w:marTop w:val="0"/>
      <w:marBottom w:val="0"/>
      <w:divBdr>
        <w:top w:val="none" w:sz="0" w:space="0" w:color="auto"/>
        <w:left w:val="none" w:sz="0" w:space="0" w:color="auto"/>
        <w:bottom w:val="none" w:sz="0" w:space="0" w:color="auto"/>
        <w:right w:val="none" w:sz="0" w:space="0" w:color="auto"/>
      </w:divBdr>
    </w:div>
    <w:div w:id="1324353846">
      <w:bodyDiv w:val="1"/>
      <w:marLeft w:val="0"/>
      <w:marRight w:val="0"/>
      <w:marTop w:val="0"/>
      <w:marBottom w:val="0"/>
      <w:divBdr>
        <w:top w:val="none" w:sz="0" w:space="0" w:color="auto"/>
        <w:left w:val="none" w:sz="0" w:space="0" w:color="auto"/>
        <w:bottom w:val="none" w:sz="0" w:space="0" w:color="auto"/>
        <w:right w:val="none" w:sz="0" w:space="0" w:color="auto"/>
      </w:divBdr>
    </w:div>
    <w:div w:id="1368407705">
      <w:bodyDiv w:val="1"/>
      <w:marLeft w:val="0"/>
      <w:marRight w:val="0"/>
      <w:marTop w:val="0"/>
      <w:marBottom w:val="0"/>
      <w:divBdr>
        <w:top w:val="none" w:sz="0" w:space="0" w:color="auto"/>
        <w:left w:val="none" w:sz="0" w:space="0" w:color="auto"/>
        <w:bottom w:val="none" w:sz="0" w:space="0" w:color="auto"/>
        <w:right w:val="none" w:sz="0" w:space="0" w:color="auto"/>
      </w:divBdr>
    </w:div>
    <w:div w:id="1443763155">
      <w:bodyDiv w:val="1"/>
      <w:marLeft w:val="0"/>
      <w:marRight w:val="0"/>
      <w:marTop w:val="0"/>
      <w:marBottom w:val="0"/>
      <w:divBdr>
        <w:top w:val="none" w:sz="0" w:space="0" w:color="auto"/>
        <w:left w:val="none" w:sz="0" w:space="0" w:color="auto"/>
        <w:bottom w:val="none" w:sz="0" w:space="0" w:color="auto"/>
        <w:right w:val="none" w:sz="0" w:space="0" w:color="auto"/>
      </w:divBdr>
    </w:div>
    <w:div w:id="1461606238">
      <w:bodyDiv w:val="1"/>
      <w:marLeft w:val="0"/>
      <w:marRight w:val="0"/>
      <w:marTop w:val="0"/>
      <w:marBottom w:val="0"/>
      <w:divBdr>
        <w:top w:val="none" w:sz="0" w:space="0" w:color="auto"/>
        <w:left w:val="none" w:sz="0" w:space="0" w:color="auto"/>
        <w:bottom w:val="none" w:sz="0" w:space="0" w:color="auto"/>
        <w:right w:val="none" w:sz="0" w:space="0" w:color="auto"/>
      </w:divBdr>
    </w:div>
    <w:div w:id="1465584625">
      <w:bodyDiv w:val="1"/>
      <w:marLeft w:val="0"/>
      <w:marRight w:val="0"/>
      <w:marTop w:val="0"/>
      <w:marBottom w:val="0"/>
      <w:divBdr>
        <w:top w:val="none" w:sz="0" w:space="0" w:color="auto"/>
        <w:left w:val="none" w:sz="0" w:space="0" w:color="auto"/>
        <w:bottom w:val="none" w:sz="0" w:space="0" w:color="auto"/>
        <w:right w:val="none" w:sz="0" w:space="0" w:color="auto"/>
      </w:divBdr>
    </w:div>
    <w:div w:id="1483110444">
      <w:bodyDiv w:val="1"/>
      <w:marLeft w:val="0"/>
      <w:marRight w:val="0"/>
      <w:marTop w:val="0"/>
      <w:marBottom w:val="0"/>
      <w:divBdr>
        <w:top w:val="none" w:sz="0" w:space="0" w:color="auto"/>
        <w:left w:val="none" w:sz="0" w:space="0" w:color="auto"/>
        <w:bottom w:val="none" w:sz="0" w:space="0" w:color="auto"/>
        <w:right w:val="none" w:sz="0" w:space="0" w:color="auto"/>
      </w:divBdr>
      <w:divsChild>
        <w:div w:id="113208888">
          <w:marLeft w:val="0"/>
          <w:marRight w:val="0"/>
          <w:marTop w:val="0"/>
          <w:marBottom w:val="0"/>
          <w:divBdr>
            <w:top w:val="none" w:sz="0" w:space="0" w:color="auto"/>
            <w:left w:val="none" w:sz="0" w:space="0" w:color="auto"/>
            <w:bottom w:val="none" w:sz="0" w:space="0" w:color="auto"/>
            <w:right w:val="none" w:sz="0" w:space="0" w:color="auto"/>
          </w:divBdr>
        </w:div>
        <w:div w:id="1652754336">
          <w:marLeft w:val="0"/>
          <w:marRight w:val="0"/>
          <w:marTop w:val="0"/>
          <w:marBottom w:val="0"/>
          <w:divBdr>
            <w:top w:val="none" w:sz="0" w:space="0" w:color="auto"/>
            <w:left w:val="none" w:sz="0" w:space="0" w:color="auto"/>
            <w:bottom w:val="none" w:sz="0" w:space="0" w:color="auto"/>
            <w:right w:val="none" w:sz="0" w:space="0" w:color="auto"/>
          </w:divBdr>
        </w:div>
        <w:div w:id="2022463740">
          <w:marLeft w:val="0"/>
          <w:marRight w:val="0"/>
          <w:marTop w:val="0"/>
          <w:marBottom w:val="0"/>
          <w:divBdr>
            <w:top w:val="none" w:sz="0" w:space="0" w:color="auto"/>
            <w:left w:val="none" w:sz="0" w:space="0" w:color="auto"/>
            <w:bottom w:val="none" w:sz="0" w:space="0" w:color="auto"/>
            <w:right w:val="none" w:sz="0" w:space="0" w:color="auto"/>
          </w:divBdr>
        </w:div>
      </w:divsChild>
    </w:div>
    <w:div w:id="1483740295">
      <w:bodyDiv w:val="1"/>
      <w:marLeft w:val="0"/>
      <w:marRight w:val="0"/>
      <w:marTop w:val="0"/>
      <w:marBottom w:val="0"/>
      <w:divBdr>
        <w:top w:val="none" w:sz="0" w:space="0" w:color="auto"/>
        <w:left w:val="none" w:sz="0" w:space="0" w:color="auto"/>
        <w:bottom w:val="none" w:sz="0" w:space="0" w:color="auto"/>
        <w:right w:val="none" w:sz="0" w:space="0" w:color="auto"/>
      </w:divBdr>
    </w:div>
    <w:div w:id="1486242994">
      <w:bodyDiv w:val="1"/>
      <w:marLeft w:val="0"/>
      <w:marRight w:val="0"/>
      <w:marTop w:val="0"/>
      <w:marBottom w:val="0"/>
      <w:divBdr>
        <w:top w:val="none" w:sz="0" w:space="0" w:color="auto"/>
        <w:left w:val="none" w:sz="0" w:space="0" w:color="auto"/>
        <w:bottom w:val="none" w:sz="0" w:space="0" w:color="auto"/>
        <w:right w:val="none" w:sz="0" w:space="0" w:color="auto"/>
      </w:divBdr>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516262983">
      <w:bodyDiv w:val="1"/>
      <w:marLeft w:val="0"/>
      <w:marRight w:val="0"/>
      <w:marTop w:val="0"/>
      <w:marBottom w:val="0"/>
      <w:divBdr>
        <w:top w:val="none" w:sz="0" w:space="0" w:color="auto"/>
        <w:left w:val="none" w:sz="0" w:space="0" w:color="auto"/>
        <w:bottom w:val="none" w:sz="0" w:space="0" w:color="auto"/>
        <w:right w:val="none" w:sz="0" w:space="0" w:color="auto"/>
      </w:divBdr>
    </w:div>
    <w:div w:id="1540974797">
      <w:bodyDiv w:val="1"/>
      <w:marLeft w:val="0"/>
      <w:marRight w:val="0"/>
      <w:marTop w:val="0"/>
      <w:marBottom w:val="0"/>
      <w:divBdr>
        <w:top w:val="none" w:sz="0" w:space="0" w:color="auto"/>
        <w:left w:val="none" w:sz="0" w:space="0" w:color="auto"/>
        <w:bottom w:val="none" w:sz="0" w:space="0" w:color="auto"/>
        <w:right w:val="none" w:sz="0" w:space="0" w:color="auto"/>
      </w:divBdr>
    </w:div>
    <w:div w:id="1615869936">
      <w:bodyDiv w:val="1"/>
      <w:marLeft w:val="0"/>
      <w:marRight w:val="0"/>
      <w:marTop w:val="0"/>
      <w:marBottom w:val="0"/>
      <w:divBdr>
        <w:top w:val="none" w:sz="0" w:space="0" w:color="auto"/>
        <w:left w:val="none" w:sz="0" w:space="0" w:color="auto"/>
        <w:bottom w:val="none" w:sz="0" w:space="0" w:color="auto"/>
        <w:right w:val="none" w:sz="0" w:space="0" w:color="auto"/>
      </w:divBdr>
    </w:div>
    <w:div w:id="1632709067">
      <w:bodyDiv w:val="1"/>
      <w:marLeft w:val="0"/>
      <w:marRight w:val="0"/>
      <w:marTop w:val="0"/>
      <w:marBottom w:val="0"/>
      <w:divBdr>
        <w:top w:val="none" w:sz="0" w:space="0" w:color="auto"/>
        <w:left w:val="none" w:sz="0" w:space="0" w:color="auto"/>
        <w:bottom w:val="none" w:sz="0" w:space="0" w:color="auto"/>
        <w:right w:val="none" w:sz="0" w:space="0" w:color="auto"/>
      </w:divBdr>
    </w:div>
    <w:div w:id="1646622290">
      <w:bodyDiv w:val="1"/>
      <w:marLeft w:val="0"/>
      <w:marRight w:val="0"/>
      <w:marTop w:val="0"/>
      <w:marBottom w:val="0"/>
      <w:divBdr>
        <w:top w:val="none" w:sz="0" w:space="0" w:color="auto"/>
        <w:left w:val="none" w:sz="0" w:space="0" w:color="auto"/>
        <w:bottom w:val="none" w:sz="0" w:space="0" w:color="auto"/>
        <w:right w:val="none" w:sz="0" w:space="0" w:color="auto"/>
      </w:divBdr>
    </w:div>
    <w:div w:id="1695501151">
      <w:bodyDiv w:val="1"/>
      <w:marLeft w:val="0"/>
      <w:marRight w:val="0"/>
      <w:marTop w:val="0"/>
      <w:marBottom w:val="0"/>
      <w:divBdr>
        <w:top w:val="none" w:sz="0" w:space="0" w:color="auto"/>
        <w:left w:val="none" w:sz="0" w:space="0" w:color="auto"/>
        <w:bottom w:val="none" w:sz="0" w:space="0" w:color="auto"/>
        <w:right w:val="none" w:sz="0" w:space="0" w:color="auto"/>
      </w:divBdr>
    </w:div>
    <w:div w:id="1718508377">
      <w:bodyDiv w:val="1"/>
      <w:marLeft w:val="0"/>
      <w:marRight w:val="0"/>
      <w:marTop w:val="0"/>
      <w:marBottom w:val="0"/>
      <w:divBdr>
        <w:top w:val="none" w:sz="0" w:space="0" w:color="auto"/>
        <w:left w:val="none" w:sz="0" w:space="0" w:color="auto"/>
        <w:bottom w:val="none" w:sz="0" w:space="0" w:color="auto"/>
        <w:right w:val="none" w:sz="0" w:space="0" w:color="auto"/>
      </w:divBdr>
    </w:div>
    <w:div w:id="1723403589">
      <w:bodyDiv w:val="1"/>
      <w:marLeft w:val="0"/>
      <w:marRight w:val="0"/>
      <w:marTop w:val="0"/>
      <w:marBottom w:val="0"/>
      <w:divBdr>
        <w:top w:val="none" w:sz="0" w:space="0" w:color="auto"/>
        <w:left w:val="none" w:sz="0" w:space="0" w:color="auto"/>
        <w:bottom w:val="none" w:sz="0" w:space="0" w:color="auto"/>
        <w:right w:val="none" w:sz="0" w:space="0" w:color="auto"/>
      </w:divBdr>
    </w:div>
    <w:div w:id="1730686838">
      <w:bodyDiv w:val="1"/>
      <w:marLeft w:val="0"/>
      <w:marRight w:val="0"/>
      <w:marTop w:val="0"/>
      <w:marBottom w:val="0"/>
      <w:divBdr>
        <w:top w:val="none" w:sz="0" w:space="0" w:color="auto"/>
        <w:left w:val="none" w:sz="0" w:space="0" w:color="auto"/>
        <w:bottom w:val="none" w:sz="0" w:space="0" w:color="auto"/>
        <w:right w:val="none" w:sz="0" w:space="0" w:color="auto"/>
      </w:divBdr>
      <w:divsChild>
        <w:div w:id="1477798305">
          <w:marLeft w:val="0"/>
          <w:marRight w:val="0"/>
          <w:marTop w:val="0"/>
          <w:marBottom w:val="0"/>
          <w:divBdr>
            <w:top w:val="none" w:sz="0" w:space="0" w:color="auto"/>
            <w:left w:val="none" w:sz="0" w:space="0" w:color="auto"/>
            <w:bottom w:val="none" w:sz="0" w:space="0" w:color="auto"/>
            <w:right w:val="none" w:sz="0" w:space="0" w:color="auto"/>
          </w:divBdr>
        </w:div>
        <w:div w:id="1505046423">
          <w:marLeft w:val="0"/>
          <w:marRight w:val="0"/>
          <w:marTop w:val="0"/>
          <w:marBottom w:val="0"/>
          <w:divBdr>
            <w:top w:val="none" w:sz="0" w:space="0" w:color="auto"/>
            <w:left w:val="none" w:sz="0" w:space="0" w:color="auto"/>
            <w:bottom w:val="none" w:sz="0" w:space="0" w:color="auto"/>
            <w:right w:val="none" w:sz="0" w:space="0" w:color="auto"/>
          </w:divBdr>
        </w:div>
        <w:div w:id="1993832976">
          <w:marLeft w:val="0"/>
          <w:marRight w:val="0"/>
          <w:marTop w:val="0"/>
          <w:marBottom w:val="0"/>
          <w:divBdr>
            <w:top w:val="none" w:sz="0" w:space="0" w:color="auto"/>
            <w:left w:val="none" w:sz="0" w:space="0" w:color="auto"/>
            <w:bottom w:val="none" w:sz="0" w:space="0" w:color="auto"/>
            <w:right w:val="none" w:sz="0" w:space="0" w:color="auto"/>
          </w:divBdr>
        </w:div>
      </w:divsChild>
    </w:div>
    <w:div w:id="1737900980">
      <w:bodyDiv w:val="1"/>
      <w:marLeft w:val="0"/>
      <w:marRight w:val="0"/>
      <w:marTop w:val="0"/>
      <w:marBottom w:val="0"/>
      <w:divBdr>
        <w:top w:val="none" w:sz="0" w:space="0" w:color="auto"/>
        <w:left w:val="none" w:sz="0" w:space="0" w:color="auto"/>
        <w:bottom w:val="none" w:sz="0" w:space="0" w:color="auto"/>
        <w:right w:val="none" w:sz="0" w:space="0" w:color="auto"/>
      </w:divBdr>
      <w:divsChild>
        <w:div w:id="1049803">
          <w:marLeft w:val="0"/>
          <w:marRight w:val="0"/>
          <w:marTop w:val="0"/>
          <w:marBottom w:val="0"/>
          <w:divBdr>
            <w:top w:val="none" w:sz="0" w:space="0" w:color="auto"/>
            <w:left w:val="none" w:sz="0" w:space="0" w:color="auto"/>
            <w:bottom w:val="none" w:sz="0" w:space="0" w:color="auto"/>
            <w:right w:val="none" w:sz="0" w:space="0" w:color="auto"/>
          </w:divBdr>
        </w:div>
        <w:div w:id="1893032737">
          <w:marLeft w:val="0"/>
          <w:marRight w:val="0"/>
          <w:marTop w:val="0"/>
          <w:marBottom w:val="0"/>
          <w:divBdr>
            <w:top w:val="none" w:sz="0" w:space="0" w:color="auto"/>
            <w:left w:val="none" w:sz="0" w:space="0" w:color="auto"/>
            <w:bottom w:val="none" w:sz="0" w:space="0" w:color="auto"/>
            <w:right w:val="none" w:sz="0" w:space="0" w:color="auto"/>
          </w:divBdr>
        </w:div>
      </w:divsChild>
    </w:div>
    <w:div w:id="1749882062">
      <w:bodyDiv w:val="1"/>
      <w:marLeft w:val="0"/>
      <w:marRight w:val="0"/>
      <w:marTop w:val="0"/>
      <w:marBottom w:val="0"/>
      <w:divBdr>
        <w:top w:val="none" w:sz="0" w:space="0" w:color="auto"/>
        <w:left w:val="none" w:sz="0" w:space="0" w:color="auto"/>
        <w:bottom w:val="none" w:sz="0" w:space="0" w:color="auto"/>
        <w:right w:val="none" w:sz="0" w:space="0" w:color="auto"/>
      </w:divBdr>
    </w:div>
    <w:div w:id="1773162820">
      <w:bodyDiv w:val="1"/>
      <w:marLeft w:val="0"/>
      <w:marRight w:val="0"/>
      <w:marTop w:val="0"/>
      <w:marBottom w:val="0"/>
      <w:divBdr>
        <w:top w:val="none" w:sz="0" w:space="0" w:color="auto"/>
        <w:left w:val="none" w:sz="0" w:space="0" w:color="auto"/>
        <w:bottom w:val="none" w:sz="0" w:space="0" w:color="auto"/>
        <w:right w:val="none" w:sz="0" w:space="0" w:color="auto"/>
      </w:divBdr>
    </w:div>
    <w:div w:id="1793597938">
      <w:bodyDiv w:val="1"/>
      <w:marLeft w:val="0"/>
      <w:marRight w:val="0"/>
      <w:marTop w:val="0"/>
      <w:marBottom w:val="0"/>
      <w:divBdr>
        <w:top w:val="none" w:sz="0" w:space="0" w:color="auto"/>
        <w:left w:val="none" w:sz="0" w:space="0" w:color="auto"/>
        <w:bottom w:val="none" w:sz="0" w:space="0" w:color="auto"/>
        <w:right w:val="none" w:sz="0" w:space="0" w:color="auto"/>
      </w:divBdr>
    </w:div>
    <w:div w:id="1818837638">
      <w:bodyDiv w:val="1"/>
      <w:marLeft w:val="0"/>
      <w:marRight w:val="0"/>
      <w:marTop w:val="0"/>
      <w:marBottom w:val="0"/>
      <w:divBdr>
        <w:top w:val="none" w:sz="0" w:space="0" w:color="auto"/>
        <w:left w:val="none" w:sz="0" w:space="0" w:color="auto"/>
        <w:bottom w:val="none" w:sz="0" w:space="0" w:color="auto"/>
        <w:right w:val="none" w:sz="0" w:space="0" w:color="auto"/>
      </w:divBdr>
    </w:div>
    <w:div w:id="1883011649">
      <w:bodyDiv w:val="1"/>
      <w:marLeft w:val="0"/>
      <w:marRight w:val="0"/>
      <w:marTop w:val="0"/>
      <w:marBottom w:val="0"/>
      <w:divBdr>
        <w:top w:val="none" w:sz="0" w:space="0" w:color="auto"/>
        <w:left w:val="none" w:sz="0" w:space="0" w:color="auto"/>
        <w:bottom w:val="none" w:sz="0" w:space="0" w:color="auto"/>
        <w:right w:val="none" w:sz="0" w:space="0" w:color="auto"/>
      </w:divBdr>
    </w:div>
    <w:div w:id="1892424427">
      <w:bodyDiv w:val="1"/>
      <w:marLeft w:val="0"/>
      <w:marRight w:val="0"/>
      <w:marTop w:val="0"/>
      <w:marBottom w:val="0"/>
      <w:divBdr>
        <w:top w:val="none" w:sz="0" w:space="0" w:color="auto"/>
        <w:left w:val="none" w:sz="0" w:space="0" w:color="auto"/>
        <w:bottom w:val="none" w:sz="0" w:space="0" w:color="auto"/>
        <w:right w:val="none" w:sz="0" w:space="0" w:color="auto"/>
      </w:divBdr>
    </w:div>
    <w:div w:id="1899169483">
      <w:bodyDiv w:val="1"/>
      <w:marLeft w:val="0"/>
      <w:marRight w:val="0"/>
      <w:marTop w:val="0"/>
      <w:marBottom w:val="0"/>
      <w:divBdr>
        <w:top w:val="none" w:sz="0" w:space="0" w:color="auto"/>
        <w:left w:val="none" w:sz="0" w:space="0" w:color="auto"/>
        <w:bottom w:val="none" w:sz="0" w:space="0" w:color="auto"/>
        <w:right w:val="none" w:sz="0" w:space="0" w:color="auto"/>
      </w:divBdr>
    </w:div>
    <w:div w:id="1903522215">
      <w:bodyDiv w:val="1"/>
      <w:marLeft w:val="0"/>
      <w:marRight w:val="0"/>
      <w:marTop w:val="0"/>
      <w:marBottom w:val="0"/>
      <w:divBdr>
        <w:top w:val="none" w:sz="0" w:space="0" w:color="auto"/>
        <w:left w:val="none" w:sz="0" w:space="0" w:color="auto"/>
        <w:bottom w:val="none" w:sz="0" w:space="0" w:color="auto"/>
        <w:right w:val="none" w:sz="0" w:space="0" w:color="auto"/>
      </w:divBdr>
      <w:divsChild>
        <w:div w:id="292291634">
          <w:marLeft w:val="0"/>
          <w:marRight w:val="0"/>
          <w:marTop w:val="0"/>
          <w:marBottom w:val="0"/>
          <w:divBdr>
            <w:top w:val="none" w:sz="0" w:space="0" w:color="auto"/>
            <w:left w:val="none" w:sz="0" w:space="0" w:color="auto"/>
            <w:bottom w:val="none" w:sz="0" w:space="0" w:color="auto"/>
            <w:right w:val="none" w:sz="0" w:space="0" w:color="auto"/>
          </w:divBdr>
        </w:div>
        <w:div w:id="1622227696">
          <w:marLeft w:val="0"/>
          <w:marRight w:val="0"/>
          <w:marTop w:val="0"/>
          <w:marBottom w:val="0"/>
          <w:divBdr>
            <w:top w:val="none" w:sz="0" w:space="0" w:color="auto"/>
            <w:left w:val="none" w:sz="0" w:space="0" w:color="auto"/>
            <w:bottom w:val="none" w:sz="0" w:space="0" w:color="auto"/>
            <w:right w:val="none" w:sz="0" w:space="0" w:color="auto"/>
          </w:divBdr>
        </w:div>
      </w:divsChild>
    </w:div>
    <w:div w:id="1939170590">
      <w:bodyDiv w:val="1"/>
      <w:marLeft w:val="0"/>
      <w:marRight w:val="0"/>
      <w:marTop w:val="0"/>
      <w:marBottom w:val="0"/>
      <w:divBdr>
        <w:top w:val="none" w:sz="0" w:space="0" w:color="auto"/>
        <w:left w:val="none" w:sz="0" w:space="0" w:color="auto"/>
        <w:bottom w:val="none" w:sz="0" w:space="0" w:color="auto"/>
        <w:right w:val="none" w:sz="0" w:space="0" w:color="auto"/>
      </w:divBdr>
    </w:div>
    <w:div w:id="1995840689">
      <w:bodyDiv w:val="1"/>
      <w:marLeft w:val="0"/>
      <w:marRight w:val="0"/>
      <w:marTop w:val="0"/>
      <w:marBottom w:val="0"/>
      <w:divBdr>
        <w:top w:val="none" w:sz="0" w:space="0" w:color="auto"/>
        <w:left w:val="none" w:sz="0" w:space="0" w:color="auto"/>
        <w:bottom w:val="none" w:sz="0" w:space="0" w:color="auto"/>
        <w:right w:val="none" w:sz="0" w:space="0" w:color="auto"/>
      </w:divBdr>
    </w:div>
    <w:div w:id="2038577657">
      <w:bodyDiv w:val="1"/>
      <w:marLeft w:val="0"/>
      <w:marRight w:val="0"/>
      <w:marTop w:val="0"/>
      <w:marBottom w:val="0"/>
      <w:divBdr>
        <w:top w:val="none" w:sz="0" w:space="0" w:color="auto"/>
        <w:left w:val="none" w:sz="0" w:space="0" w:color="auto"/>
        <w:bottom w:val="none" w:sz="0" w:space="0" w:color="auto"/>
        <w:right w:val="none" w:sz="0" w:space="0" w:color="auto"/>
      </w:divBdr>
    </w:div>
    <w:div w:id="2075270926">
      <w:bodyDiv w:val="1"/>
      <w:marLeft w:val="0"/>
      <w:marRight w:val="0"/>
      <w:marTop w:val="0"/>
      <w:marBottom w:val="0"/>
      <w:divBdr>
        <w:top w:val="none" w:sz="0" w:space="0" w:color="auto"/>
        <w:left w:val="none" w:sz="0" w:space="0" w:color="auto"/>
        <w:bottom w:val="none" w:sz="0" w:space="0" w:color="auto"/>
        <w:right w:val="none" w:sz="0" w:space="0" w:color="auto"/>
      </w:divBdr>
      <w:divsChild>
        <w:div w:id="1249213">
          <w:marLeft w:val="0"/>
          <w:marRight w:val="0"/>
          <w:marTop w:val="0"/>
          <w:marBottom w:val="0"/>
          <w:divBdr>
            <w:top w:val="none" w:sz="0" w:space="0" w:color="auto"/>
            <w:left w:val="none" w:sz="0" w:space="0" w:color="auto"/>
            <w:bottom w:val="none" w:sz="0" w:space="0" w:color="auto"/>
            <w:right w:val="none" w:sz="0" w:space="0" w:color="auto"/>
          </w:divBdr>
        </w:div>
        <w:div w:id="1112243342">
          <w:marLeft w:val="0"/>
          <w:marRight w:val="0"/>
          <w:marTop w:val="0"/>
          <w:marBottom w:val="0"/>
          <w:divBdr>
            <w:top w:val="none" w:sz="0" w:space="0" w:color="auto"/>
            <w:left w:val="none" w:sz="0" w:space="0" w:color="auto"/>
            <w:bottom w:val="none" w:sz="0" w:space="0" w:color="auto"/>
            <w:right w:val="none" w:sz="0" w:space="0" w:color="auto"/>
          </w:divBdr>
        </w:div>
        <w:div w:id="1542787567">
          <w:marLeft w:val="0"/>
          <w:marRight w:val="0"/>
          <w:marTop w:val="0"/>
          <w:marBottom w:val="0"/>
          <w:divBdr>
            <w:top w:val="none" w:sz="0" w:space="0" w:color="auto"/>
            <w:left w:val="none" w:sz="0" w:space="0" w:color="auto"/>
            <w:bottom w:val="none" w:sz="0" w:space="0" w:color="auto"/>
            <w:right w:val="none" w:sz="0" w:space="0" w:color="auto"/>
          </w:divBdr>
        </w:div>
      </w:divsChild>
    </w:div>
    <w:div w:id="2077245211">
      <w:bodyDiv w:val="1"/>
      <w:marLeft w:val="0"/>
      <w:marRight w:val="0"/>
      <w:marTop w:val="0"/>
      <w:marBottom w:val="0"/>
      <w:divBdr>
        <w:top w:val="none" w:sz="0" w:space="0" w:color="auto"/>
        <w:left w:val="none" w:sz="0" w:space="0" w:color="auto"/>
        <w:bottom w:val="none" w:sz="0" w:space="0" w:color="auto"/>
        <w:right w:val="none" w:sz="0" w:space="0" w:color="auto"/>
      </w:divBdr>
    </w:div>
    <w:div w:id="2084140157">
      <w:bodyDiv w:val="1"/>
      <w:marLeft w:val="0"/>
      <w:marRight w:val="0"/>
      <w:marTop w:val="0"/>
      <w:marBottom w:val="0"/>
      <w:divBdr>
        <w:top w:val="none" w:sz="0" w:space="0" w:color="auto"/>
        <w:left w:val="none" w:sz="0" w:space="0" w:color="auto"/>
        <w:bottom w:val="none" w:sz="0" w:space="0" w:color="auto"/>
        <w:right w:val="none" w:sz="0" w:space="0" w:color="auto"/>
      </w:divBdr>
    </w:div>
    <w:div w:id="2093969874">
      <w:bodyDiv w:val="1"/>
      <w:marLeft w:val="0"/>
      <w:marRight w:val="0"/>
      <w:marTop w:val="0"/>
      <w:marBottom w:val="0"/>
      <w:divBdr>
        <w:top w:val="none" w:sz="0" w:space="0" w:color="auto"/>
        <w:left w:val="none" w:sz="0" w:space="0" w:color="auto"/>
        <w:bottom w:val="none" w:sz="0" w:space="0" w:color="auto"/>
        <w:right w:val="none" w:sz="0" w:space="0" w:color="auto"/>
      </w:divBdr>
    </w:div>
    <w:div w:id="21153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csm.ru/ru/about/structure/" TargetMode="External"/><Relationship Id="rId13" Type="http://schemas.openxmlformats.org/officeDocument/2006/relationships/hyperlink" Target="http://www.sec.gov/about/laws/sea34.pdf" TargetMode="External"/><Relationship Id="rId18" Type="http://schemas.openxmlformats.org/officeDocument/2006/relationships/hyperlink" Target="http://www.lukoil.ru/materials/doc/reports/qreports/qr0412_Suppl.pdf" TargetMode="External"/><Relationship Id="rId26" Type="http://schemas.openxmlformats.org/officeDocument/2006/relationships/hyperlink" Target="http://www.sec.gov/about/whatwedo.shtml" TargetMode="External"/><Relationship Id="rId39" Type="http://schemas.openxmlformats.org/officeDocument/2006/relationships/hyperlink" Target="http://www.sec.gov/litigation/admin/33-8569.pdf" TargetMode="External"/><Relationship Id="rId3" Type="http://schemas.openxmlformats.org/officeDocument/2006/relationships/hyperlink" Target="http://www.oecd.org/daf/ca/corporategovernanceprinciples/32159669.pdf" TargetMode="External"/><Relationship Id="rId21" Type="http://schemas.openxmlformats.org/officeDocument/2006/relationships/hyperlink" Target="http://www.sec.gov/answers/form8k.htm" TargetMode="External"/><Relationship Id="rId34" Type="http://schemas.openxmlformats.org/officeDocument/2006/relationships/hyperlink" Target="http://www.sec.gov/litigation/admin/2013/34-69260.pdf" TargetMode="External"/><Relationship Id="rId42" Type="http://schemas.openxmlformats.org/officeDocument/2006/relationships/hyperlink" Target="http://www.sec.gov/litigation/complaints/2012/comp-pr2012-231.pdf" TargetMode="External"/><Relationship Id="rId7" Type="http://schemas.openxmlformats.org/officeDocument/2006/relationships/hyperlink" Target="http://www.sec.gov/about/whatwedo.shtml" TargetMode="External"/><Relationship Id="rId12" Type="http://schemas.openxmlformats.org/officeDocument/2006/relationships/hyperlink" Target="http://www.sec.gov/about/laws/sa33.pdf" TargetMode="External"/><Relationship Id="rId17" Type="http://schemas.openxmlformats.org/officeDocument/2006/relationships/hyperlink" Target="http://www.sec.gov/about/forms/form10-q.pdf" TargetMode="External"/><Relationship Id="rId25" Type="http://schemas.openxmlformats.org/officeDocument/2006/relationships/hyperlink" Target="http://fkcb.ffms.ru/catalog.asp?ob_no=3142" TargetMode="External"/><Relationship Id="rId33" Type="http://schemas.openxmlformats.org/officeDocument/2006/relationships/hyperlink" Target="http://www.sec.gov/litigation/admin/2013/34-69117.pdf" TargetMode="External"/><Relationship Id="rId38" Type="http://schemas.openxmlformats.org/officeDocument/2006/relationships/hyperlink" Target="http://www.sec.gov/litigation/admin/2013/34-68703.pdf" TargetMode="External"/><Relationship Id="rId46" Type="http://schemas.openxmlformats.org/officeDocument/2006/relationships/hyperlink" Target="http://www.jstor.org/stable/27650588" TargetMode="External"/><Relationship Id="rId2" Type="http://schemas.openxmlformats.org/officeDocument/2006/relationships/hyperlink" Target="http://www.jstor.org/stable/40684892" TargetMode="External"/><Relationship Id="rId16" Type="http://schemas.openxmlformats.org/officeDocument/2006/relationships/hyperlink" Target="http://www.sec.gov/answers/form10q.htm" TargetMode="External"/><Relationship Id="rId20" Type="http://schemas.openxmlformats.org/officeDocument/2006/relationships/hyperlink" Target="http://www.ecfr.gov" TargetMode="External"/><Relationship Id="rId29" Type="http://schemas.openxmlformats.org/officeDocument/2006/relationships/hyperlink" Target="http://www.archives.gov/federal-register/laws/administrative-procedure/" TargetMode="External"/><Relationship Id="rId41" Type="http://schemas.openxmlformats.org/officeDocument/2006/relationships/hyperlink" Target="http://www.sec.gov/litigation/complaints/2009/comp21164-amended.pdf" TargetMode="External"/><Relationship Id="rId1" Type="http://schemas.openxmlformats.org/officeDocument/2006/relationships/hyperlink" Target="http://www.jstor.org/stable/3699333" TargetMode="External"/><Relationship Id="rId6" Type="http://schemas.openxmlformats.org/officeDocument/2006/relationships/hyperlink" Target="http://www.oecd.org/daf/ca/corporategovernanceprinciples/32159669.pdf" TargetMode="External"/><Relationship Id="rId11" Type="http://schemas.openxmlformats.org/officeDocument/2006/relationships/hyperlink" Target="http://www.rg.ru/2013/04/30/peredacha-anons.html" TargetMode="External"/><Relationship Id="rId24" Type="http://schemas.openxmlformats.org/officeDocument/2006/relationships/hyperlink" Target="http://www.fcsm.ru/ru/contributors/financialmarket/emitters/inf_open/" TargetMode="External"/><Relationship Id="rId32" Type="http://schemas.openxmlformats.org/officeDocument/2006/relationships/hyperlink" Target="http://www.sec.gov/litigation/admin/2013/34-69116.pdf" TargetMode="External"/><Relationship Id="rId37" Type="http://schemas.openxmlformats.org/officeDocument/2006/relationships/hyperlink" Target="http://www.kad.arbitr.ru" TargetMode="External"/><Relationship Id="rId40" Type="http://schemas.openxmlformats.org/officeDocument/2006/relationships/hyperlink" Target="http://www.sec.gov/litigation/complaints/2013/comp22644.pdf" TargetMode="External"/><Relationship Id="rId45" Type="http://schemas.openxmlformats.org/officeDocument/2006/relationships/hyperlink" Target="http://www.crimpravo.ru/page/mvdstatistic/" TargetMode="External"/><Relationship Id="rId5" Type="http://schemas.openxmlformats.org/officeDocument/2006/relationships/hyperlink" Target="http://www.sec.gov/about/laws.shtml" TargetMode="External"/><Relationship Id="rId15" Type="http://schemas.openxmlformats.org/officeDocument/2006/relationships/hyperlink" Target="http://www.sec.gov/about/forms/form10-k.pdf" TargetMode="External"/><Relationship Id="rId23" Type="http://schemas.openxmlformats.org/officeDocument/2006/relationships/hyperlink" Target="http://www.sec.gov/about/forms/secforms.htm" TargetMode="External"/><Relationship Id="rId28" Type="http://schemas.openxmlformats.org/officeDocument/2006/relationships/hyperlink" Target="http://www.kad.arbitr.ru" TargetMode="External"/><Relationship Id="rId36" Type="http://schemas.openxmlformats.org/officeDocument/2006/relationships/hyperlink" Target="http://www.sec.gov/litigation/admin/2013/3%204-69206.pdf" TargetMode="External"/><Relationship Id="rId10" Type="http://schemas.openxmlformats.org/officeDocument/2006/relationships/hyperlink" Target="http://top.rbc.ru/economics/14/12/2012/836648.shtml" TargetMode="External"/><Relationship Id="rId19" Type="http://schemas.openxmlformats.org/officeDocument/2006/relationships/hyperlink" Target="http://www.sec.gov/Archives/edgar/data/320193/000119312513022339/d453687d10q.htm" TargetMode="External"/><Relationship Id="rId31" Type="http://schemas.openxmlformats.org/officeDocument/2006/relationships/hyperlink" Target="http://www.law.cornell.edu/wex/securities_exchange_act_of_1934" TargetMode="External"/><Relationship Id="rId44" Type="http://schemas.openxmlformats.org/officeDocument/2006/relationships/hyperlink" Target="http://www.haynesboone.com/" TargetMode="External"/><Relationship Id="rId4" Type="http://schemas.openxmlformats.org/officeDocument/2006/relationships/hyperlink" Target="http://sbrf.ru/moscow/ru/investor_relations/rdr/rdr_rusal/" TargetMode="External"/><Relationship Id="rId9" Type="http://schemas.openxmlformats.org/officeDocument/2006/relationships/hyperlink" Target="http://www.kommersant.ru/doc/1787924" TargetMode="External"/><Relationship Id="rId14" Type="http://schemas.openxmlformats.org/officeDocument/2006/relationships/hyperlink" Target="http://www.sec.gov/answers/form10k.htm" TargetMode="External"/><Relationship Id="rId22" Type="http://schemas.openxmlformats.org/officeDocument/2006/relationships/hyperlink" Target="http://www.law.cornell.edu/wex/securities_exchange_act_of_1934" TargetMode="External"/><Relationship Id="rId27" Type="http://schemas.openxmlformats.org/officeDocument/2006/relationships/hyperlink" Target="http://www.sec.gov/edgar/aboutedgar.htm" TargetMode="External"/><Relationship Id="rId30" Type="http://schemas.openxmlformats.org/officeDocument/2006/relationships/hyperlink" Target="http://resources.lawinfo.com/en/articles/criminal-law/federal/infraction-misdemeanor-or-felony-what-is-the-.html" TargetMode="External"/><Relationship Id="rId35" Type="http://schemas.openxmlformats.org/officeDocument/2006/relationships/hyperlink" Target="http://www.sec.gov/litigation/admin/2012/33-9371.pdf" TargetMode="External"/><Relationship Id="rId43" Type="http://schemas.openxmlformats.org/officeDocument/2006/relationships/hyperlink" Target="http://www.sec.gov/spotlight/enf-actions-fc.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719825-B3DA-4570-984B-B691CC47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116</Pages>
  <Words>27758</Words>
  <Characters>158223</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Мелочь</dc:creator>
  <cp:lastModifiedBy>akhamianova-mokeeva</cp:lastModifiedBy>
  <cp:revision>59</cp:revision>
  <cp:lastPrinted>2013-05-13T05:47:00Z</cp:lastPrinted>
  <dcterms:created xsi:type="dcterms:W3CDTF">2013-05-10T12:15:00Z</dcterms:created>
  <dcterms:modified xsi:type="dcterms:W3CDTF">2013-05-13T05:50:00Z</dcterms:modified>
</cp:coreProperties>
</file>